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Khmer (Cambodian)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white"/>
                <w:rtl w:val="0"/>
              </w:rPr>
              <w:t xml:space="preserve">តើអ្នកមានសំណួរអំពីការចាក់វ៉ាក់សាំងអោយកូនរបស់អ្នកដើម្បីទប់ស្កាត់ជំងឺកូវីដ-១៩ COVID-19 ឬ? សូមស្វែងយល់បន្ថែម។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នេះគឺជាអ្វីដែលអ្នកចាំបាច់យល់ដឹង។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0F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បើពួកយើងទាំងយុវវ័យទាំងចាស់នាំគ្នាចាក់វ៉ាក់សាំងទប់ស្កាត់ជំងឺកូវីដ-១៩ COVID-19 អោយបានទាំងអស់គ្នា កូនចៅរបស់យើងនឹងអាចឆាប់បានចូលរៀនដូចមុននិងត្រឡប់ទៅជីវិតដូចធម្មតាវិញ។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ទាំងអស់គ្នា យើងនឹង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