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Ukrainian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Є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запитання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 щодо щеплення ваших дітей від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highlight w:val="white"/>
                <w:rtl w:val="0"/>
              </w:rPr>
              <w:t xml:space="preserve">Докладніше.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A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Ось що вам потрібно знати.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240" w:before="240" w:line="276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Чим швидше і більше людей — молоді та дорослих —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зроблять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щеплення від COVID-19, тим швидше наші діти зможуть повернутися до звичного шкільного життя та звичних занять. 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before="240" w:line="276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Разом ми зможемо.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