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5C5A2" w14:textId="0478BF40" w:rsidR="000330F0" w:rsidRPr="008528CF" w:rsidRDefault="00992729" w:rsidP="00E40728">
      <w:pPr>
        <w:spacing w:after="0"/>
        <w:jc w:val="center"/>
        <w:rPr>
          <w:b/>
          <w:bCs/>
        </w:rPr>
      </w:pPr>
      <w:r w:rsidRPr="004D460A">
        <w:rPr>
          <w:b/>
          <w:bCs/>
          <w:sz w:val="24"/>
          <w:szCs w:val="24"/>
        </w:rPr>
        <w:t xml:space="preserve">National Bicillin </w:t>
      </w:r>
      <w:r w:rsidR="00A57EB7" w:rsidRPr="004D460A">
        <w:rPr>
          <w:b/>
          <w:bCs/>
          <w:sz w:val="24"/>
          <w:szCs w:val="24"/>
        </w:rPr>
        <w:t>s</w:t>
      </w:r>
      <w:r w:rsidRPr="004D460A">
        <w:rPr>
          <w:b/>
          <w:bCs/>
          <w:sz w:val="24"/>
          <w:szCs w:val="24"/>
        </w:rPr>
        <w:t xml:space="preserve">hortage: </w:t>
      </w:r>
      <w:r w:rsidR="00A57EB7" w:rsidRPr="004D460A">
        <w:rPr>
          <w:b/>
          <w:bCs/>
          <w:sz w:val="24"/>
          <w:szCs w:val="24"/>
        </w:rPr>
        <w:t>p</w:t>
      </w:r>
      <w:r w:rsidRPr="004D460A">
        <w:rPr>
          <w:b/>
          <w:bCs/>
          <w:sz w:val="24"/>
          <w:szCs w:val="24"/>
        </w:rPr>
        <w:t xml:space="preserve">rioritization of </w:t>
      </w:r>
      <w:r w:rsidR="00A57EB7" w:rsidRPr="004D460A">
        <w:rPr>
          <w:b/>
          <w:bCs/>
          <w:sz w:val="24"/>
          <w:szCs w:val="24"/>
        </w:rPr>
        <w:t>p</w:t>
      </w:r>
      <w:r w:rsidRPr="004D460A">
        <w:rPr>
          <w:b/>
          <w:bCs/>
          <w:sz w:val="24"/>
          <w:szCs w:val="24"/>
        </w:rPr>
        <w:t xml:space="preserve">opulations for </w:t>
      </w:r>
      <w:r w:rsidR="00A57EB7" w:rsidRPr="004D460A">
        <w:rPr>
          <w:b/>
          <w:bCs/>
          <w:sz w:val="24"/>
          <w:szCs w:val="24"/>
        </w:rPr>
        <w:t>t</w:t>
      </w:r>
      <w:r w:rsidRPr="004D460A">
        <w:rPr>
          <w:b/>
          <w:bCs/>
          <w:sz w:val="24"/>
          <w:szCs w:val="24"/>
        </w:rPr>
        <w:t>reatment with Bicillin L-A®</w:t>
      </w:r>
    </w:p>
    <w:p w14:paraId="4EFB988F" w14:textId="77777777" w:rsidR="0089776B" w:rsidRDefault="0089776B" w:rsidP="0089776B">
      <w:pPr>
        <w:spacing w:after="0"/>
        <w:rPr>
          <w:b/>
          <w:bCs/>
          <w:i/>
          <w:iCs/>
        </w:rPr>
      </w:pPr>
    </w:p>
    <w:p w14:paraId="4FF7AF06" w14:textId="0E9D98CD" w:rsidR="00F6742A" w:rsidRPr="008C5258" w:rsidRDefault="00F6742A" w:rsidP="00E40728">
      <w:pPr>
        <w:spacing w:after="0"/>
        <w:rPr>
          <w:b/>
          <w:bCs/>
          <w:i/>
          <w:iCs/>
        </w:rPr>
      </w:pPr>
      <w:r w:rsidRPr="008C5258">
        <w:rPr>
          <w:b/>
          <w:bCs/>
          <w:i/>
          <w:iCs/>
        </w:rPr>
        <w:t xml:space="preserve">Background </w:t>
      </w:r>
    </w:p>
    <w:p w14:paraId="3A086D91" w14:textId="0773B6BF" w:rsidR="00F6742A" w:rsidRPr="008528CF" w:rsidRDefault="00F6742A" w:rsidP="00E40728">
      <w:pPr>
        <w:spacing w:after="0"/>
      </w:pPr>
      <w:r>
        <w:t xml:space="preserve">Both </w:t>
      </w:r>
      <w:hyperlink r:id="rId7" w:history="1">
        <w:r w:rsidRPr="00F6742A">
          <w:rPr>
            <w:rStyle w:val="Hyperlink"/>
          </w:rPr>
          <w:t>CDC</w:t>
        </w:r>
      </w:hyperlink>
      <w:r>
        <w:t xml:space="preserve"> and </w:t>
      </w:r>
      <w:hyperlink r:id="rId8" w:history="1">
        <w:r w:rsidRPr="00F6742A">
          <w:rPr>
            <w:rStyle w:val="Hyperlink"/>
          </w:rPr>
          <w:t>FDA</w:t>
        </w:r>
      </w:hyperlink>
      <w:r>
        <w:t xml:space="preserve"> </w:t>
      </w:r>
      <w:r w:rsidR="008C5258">
        <w:t>report</w:t>
      </w:r>
      <w:r>
        <w:t xml:space="preserve"> national shortages of Benzathine penicillin G (Bicillin L-A®) due to increased demand. There are no emergency stockpiles of this medication and existing supplies are very limited. </w:t>
      </w:r>
      <w:r w:rsidR="00D61D0A">
        <w:t xml:space="preserve">The FDA believes the shortage will improve in late 2023. </w:t>
      </w:r>
      <w:r>
        <w:t xml:space="preserve">This drug shortage is </w:t>
      </w:r>
      <w:r w:rsidR="00C8280A">
        <w:t>important</w:t>
      </w:r>
      <w:r>
        <w:t xml:space="preserve"> because Bicillin L-A® is the first line treatment for syphilis </w:t>
      </w:r>
      <w:r w:rsidRPr="00512B77">
        <w:t>and</w:t>
      </w:r>
      <w:r w:rsidR="008C5258" w:rsidRPr="00512B77">
        <w:t xml:space="preserve"> </w:t>
      </w:r>
      <w:r w:rsidRPr="008528CF">
        <w:rPr>
          <w:b/>
          <w:bCs/>
        </w:rPr>
        <w:t xml:space="preserve">the only </w:t>
      </w:r>
      <w:r w:rsidR="00290D50">
        <w:rPr>
          <w:b/>
          <w:bCs/>
        </w:rPr>
        <w:t>acceptable</w:t>
      </w:r>
      <w:r w:rsidR="00290D50" w:rsidRPr="008528CF">
        <w:rPr>
          <w:b/>
          <w:bCs/>
        </w:rPr>
        <w:t xml:space="preserve"> </w:t>
      </w:r>
      <w:r w:rsidRPr="008528CF">
        <w:rPr>
          <w:b/>
          <w:bCs/>
        </w:rPr>
        <w:t xml:space="preserve">treatment for pregnant people </w:t>
      </w:r>
      <w:r w:rsidRPr="008528CF">
        <w:t>infected with or exposed to syphilis.</w:t>
      </w:r>
      <w:r w:rsidRPr="00312B46">
        <w:rPr>
          <w:b/>
          <w:bCs/>
          <w:i/>
          <w:iCs/>
        </w:rPr>
        <w:t xml:space="preserve"> </w:t>
      </w:r>
      <w:r w:rsidR="004A706B">
        <w:t xml:space="preserve">Providers should continue to </w:t>
      </w:r>
      <w:r w:rsidR="00F53A3C">
        <w:t xml:space="preserve">test </w:t>
      </w:r>
      <w:r w:rsidR="008528CF">
        <w:t xml:space="preserve">all </w:t>
      </w:r>
      <w:r w:rsidR="00F53A3C">
        <w:t>pregnant people for syphilis at the first prenatal visit,</w:t>
      </w:r>
      <w:r w:rsidR="008528CF">
        <w:t xml:space="preserve"> and</w:t>
      </w:r>
      <w:r w:rsidR="009C32D0">
        <w:t xml:space="preserve"> </w:t>
      </w:r>
      <w:r w:rsidR="00F53A3C">
        <w:t>in the third trimester, and at delivery if r</w:t>
      </w:r>
      <w:r w:rsidR="004F171E">
        <w:t>isk factors are present</w:t>
      </w:r>
      <w:r w:rsidR="001366D0">
        <w:t xml:space="preserve"> or </w:t>
      </w:r>
      <w:r w:rsidR="0042581F">
        <w:t>suspected</w:t>
      </w:r>
      <w:r w:rsidR="004F171E">
        <w:t>.</w:t>
      </w:r>
      <w:r w:rsidR="008528CF">
        <w:t xml:space="preserve"> Providers should </w:t>
      </w:r>
      <w:r w:rsidR="003B48D2">
        <w:t>continue to provide empiric treatment</w:t>
      </w:r>
      <w:r w:rsidR="0035540A">
        <w:t xml:space="preserve"> </w:t>
      </w:r>
      <w:r w:rsidR="00184A63">
        <w:t>(</w:t>
      </w:r>
      <w:r w:rsidR="0035540A">
        <w:t>at the</w:t>
      </w:r>
      <w:r w:rsidR="00184A63">
        <w:t xml:space="preserve"> </w:t>
      </w:r>
      <w:r w:rsidR="0035540A">
        <w:t xml:space="preserve">time </w:t>
      </w:r>
      <w:r w:rsidR="00D50810">
        <w:t>of</w:t>
      </w:r>
      <w:r w:rsidR="0035540A">
        <w:t xml:space="preserve"> syphilis testing</w:t>
      </w:r>
      <w:r w:rsidR="00184A63">
        <w:t>)</w:t>
      </w:r>
      <w:r w:rsidR="0035540A">
        <w:t xml:space="preserve"> for</w:t>
      </w:r>
      <w:r w:rsidR="008528CF">
        <w:t xml:space="preserve"> patients </w:t>
      </w:r>
      <w:r w:rsidR="0042581F">
        <w:t xml:space="preserve">who </w:t>
      </w:r>
      <w:r w:rsidR="0035540A">
        <w:t xml:space="preserve">report </w:t>
      </w:r>
      <w:r w:rsidR="003B48D2">
        <w:t xml:space="preserve">sexual </w:t>
      </w:r>
      <w:r w:rsidR="0042581F">
        <w:t>exposure</w:t>
      </w:r>
      <w:r w:rsidR="003B48D2">
        <w:t xml:space="preserve"> to someone with syphilis </w:t>
      </w:r>
      <w:r w:rsidR="00184A63">
        <w:t>an</w:t>
      </w:r>
      <w:r w:rsidR="00D50810">
        <w:t>d</w:t>
      </w:r>
      <w:r w:rsidR="00184A63">
        <w:t xml:space="preserve"> patients with symptoms and signs of syphilis.</w:t>
      </w:r>
      <w:r w:rsidR="004F171E">
        <w:t xml:space="preserve"> </w:t>
      </w:r>
    </w:p>
    <w:p w14:paraId="302A3FF7" w14:textId="77777777" w:rsidR="0089776B" w:rsidRDefault="0089776B" w:rsidP="0089776B">
      <w:pPr>
        <w:spacing w:after="0"/>
        <w:rPr>
          <w:b/>
          <w:bCs/>
          <w:i/>
          <w:iCs/>
        </w:rPr>
      </w:pPr>
    </w:p>
    <w:p w14:paraId="1905C713" w14:textId="779BD43E" w:rsidR="00F6742A" w:rsidRPr="008C5258" w:rsidRDefault="00F6742A" w:rsidP="00E40728">
      <w:pPr>
        <w:spacing w:after="0"/>
        <w:rPr>
          <w:b/>
          <w:bCs/>
          <w:i/>
          <w:iCs/>
        </w:rPr>
      </w:pPr>
      <w:r w:rsidRPr="008C5258">
        <w:rPr>
          <w:b/>
          <w:bCs/>
          <w:i/>
          <w:iCs/>
        </w:rPr>
        <w:t xml:space="preserve">Recommendations </w:t>
      </w:r>
    </w:p>
    <w:p w14:paraId="6B5EECB1" w14:textId="2349903E" w:rsidR="00F6742A" w:rsidRDefault="00F6742A" w:rsidP="00E40728">
      <w:pPr>
        <w:spacing w:after="0"/>
      </w:pPr>
      <w:r>
        <w:t>Healthcare providers and local health jurisdictions should closely monitor their inventory of Bicillin L-A®</w:t>
      </w:r>
      <w:r w:rsidR="004A7FF7">
        <w:t>.</w:t>
      </w:r>
      <w:r>
        <w:t xml:space="preserve"> If warranted due to the drug shortage, healthcare providers </w:t>
      </w:r>
      <w:r w:rsidR="002B77F9">
        <w:t xml:space="preserve">should </w:t>
      </w:r>
      <w:r>
        <w:t>consider alternate treatment with doxycycline</w:t>
      </w:r>
      <w:r w:rsidR="002B77F9">
        <w:t xml:space="preserve"> for </w:t>
      </w:r>
      <w:r w:rsidR="00ED5ECF">
        <w:t xml:space="preserve">non-pregnant </w:t>
      </w:r>
      <w:r w:rsidR="00543C4A">
        <w:t>patients</w:t>
      </w:r>
      <w:r>
        <w:t xml:space="preserve">. Bicillin L-A® remains the treatment of choice for all patients with syphilis and should be used when supply allows. </w:t>
      </w:r>
      <w:r w:rsidR="00ED5ECF">
        <w:t xml:space="preserve">Providers </w:t>
      </w:r>
      <w:r w:rsidR="00382FC5">
        <w:t xml:space="preserve">should </w:t>
      </w:r>
      <w:r w:rsidR="002E04FB">
        <w:t xml:space="preserve">also </w:t>
      </w:r>
      <w:r w:rsidR="00382FC5">
        <w:t xml:space="preserve">prioritize Bicillin L-A® for </w:t>
      </w:r>
      <w:r w:rsidR="00F048D4">
        <w:t>syphilis treatmen</w:t>
      </w:r>
      <w:r w:rsidR="002E04FB">
        <w:t>t</w:t>
      </w:r>
      <w:r w:rsidR="00F048D4">
        <w:t xml:space="preserve"> and should consider alternative treatments for </w:t>
      </w:r>
      <w:r w:rsidR="000745CD">
        <w:t xml:space="preserve">other infections (e.g., Group A Streptococcus). </w:t>
      </w:r>
      <w:r w:rsidR="00F048D4">
        <w:t xml:space="preserve"> </w:t>
      </w:r>
    </w:p>
    <w:p w14:paraId="29C5EEC6" w14:textId="17716CFB" w:rsidR="00F6742A" w:rsidRDefault="00E3219D" w:rsidP="00E40728">
      <w:pPr>
        <w:spacing w:after="0"/>
      </w:pPr>
      <w:r>
        <w:t>Below is</w:t>
      </w:r>
      <w:r w:rsidR="00F6742A">
        <w:t xml:space="preserve"> an example of a prioritization strategy that healthcare providers m</w:t>
      </w:r>
      <w:r w:rsidR="00543C4A">
        <w:t>ight</w:t>
      </w:r>
      <w:r w:rsidR="00F6742A">
        <w:t xml:space="preserve"> consider in their efforts to ensure</w:t>
      </w:r>
      <w:r w:rsidR="008C5258">
        <w:t xml:space="preserve"> access to </w:t>
      </w:r>
      <w:r>
        <w:t xml:space="preserve">Bicillin L-A® </w:t>
      </w:r>
      <w:r w:rsidR="008C5258">
        <w:t>for</w:t>
      </w:r>
      <w:r w:rsidR="00F6742A">
        <w:t xml:space="preserve"> priority populations </w:t>
      </w:r>
      <w:r>
        <w:t xml:space="preserve">during </w:t>
      </w:r>
      <w:r w:rsidR="00F6742A">
        <w:t>the drug shortage.</w:t>
      </w:r>
      <w:r w:rsidR="00BC3952">
        <w:t xml:space="preserve"> Each institution should periodically reassess their prioritization strategy to match available supply.</w:t>
      </w:r>
    </w:p>
    <w:p w14:paraId="081B0843" w14:textId="77777777" w:rsidR="0089776B" w:rsidRDefault="0089776B" w:rsidP="0089776B">
      <w:pPr>
        <w:spacing w:after="0"/>
        <w:rPr>
          <w:b/>
          <w:bCs/>
          <w:i/>
          <w:iCs/>
        </w:rPr>
      </w:pPr>
    </w:p>
    <w:p w14:paraId="31749D9C" w14:textId="12455002" w:rsidR="00F6742A" w:rsidRPr="008C5258" w:rsidRDefault="003263EB" w:rsidP="00E40728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Example </w:t>
      </w:r>
      <w:r w:rsidR="00F6742A" w:rsidRPr="008C5258">
        <w:rPr>
          <w:b/>
          <w:bCs/>
          <w:i/>
          <w:iCs/>
        </w:rPr>
        <w:t xml:space="preserve">Bicillin L-A® </w:t>
      </w:r>
      <w:r w:rsidR="00AF4F92">
        <w:rPr>
          <w:b/>
          <w:bCs/>
          <w:i/>
          <w:iCs/>
        </w:rPr>
        <w:t>p</w:t>
      </w:r>
      <w:r w:rsidR="00F6742A" w:rsidRPr="008C5258">
        <w:rPr>
          <w:b/>
          <w:bCs/>
          <w:i/>
          <w:iCs/>
        </w:rPr>
        <w:t xml:space="preserve">rioritization </w:t>
      </w:r>
    </w:p>
    <w:p w14:paraId="213CA047" w14:textId="517A5BA4" w:rsidR="00F6742A" w:rsidRPr="00983433" w:rsidRDefault="00F6742A" w:rsidP="00E40728">
      <w:pPr>
        <w:spacing w:after="0"/>
      </w:pPr>
      <w:r w:rsidRPr="00AD434A">
        <w:t>Bicillin L-A® is the only acceptable treatment</w:t>
      </w:r>
      <w:r w:rsidRPr="00983433">
        <w:t xml:space="preserve"> for </w:t>
      </w:r>
      <w:r w:rsidR="005F261A" w:rsidRPr="008528CF">
        <w:t>pregnant people</w:t>
      </w:r>
      <w:r w:rsidR="00983433">
        <w:t xml:space="preserve"> and infants </w:t>
      </w:r>
      <w:r w:rsidR="003263EB">
        <w:t xml:space="preserve">with congenital syphilis. </w:t>
      </w:r>
      <w:r w:rsidR="00713CD2">
        <w:t>The following groups</w:t>
      </w:r>
      <w:r w:rsidR="00A22B2F">
        <w:t xml:space="preserve"> should also be prioritized for Bicillin L-A® if possible: </w:t>
      </w:r>
    </w:p>
    <w:p w14:paraId="5EF79112" w14:textId="32DF641F" w:rsidR="00F6742A" w:rsidRDefault="00F6742A" w:rsidP="00E40728">
      <w:pPr>
        <w:pStyle w:val="ListParagraph"/>
        <w:numPr>
          <w:ilvl w:val="0"/>
          <w:numId w:val="2"/>
        </w:numPr>
        <w:spacing w:after="0"/>
      </w:pPr>
      <w:r>
        <w:t xml:space="preserve">Sexual partners of pregnant </w:t>
      </w:r>
      <w:r w:rsidR="00F9257B">
        <w:t>people</w:t>
      </w:r>
      <w:r>
        <w:t xml:space="preserve"> </w:t>
      </w:r>
    </w:p>
    <w:p w14:paraId="46D9CEAC" w14:textId="73C47949" w:rsidR="00F6742A" w:rsidRDefault="00F9257B" w:rsidP="00E40728">
      <w:pPr>
        <w:pStyle w:val="ListParagraph"/>
        <w:numPr>
          <w:ilvl w:val="0"/>
          <w:numId w:val="2"/>
        </w:numPr>
        <w:spacing w:after="0"/>
      </w:pPr>
      <w:r>
        <w:t>Pregnancy capable people</w:t>
      </w:r>
      <w:r w:rsidR="00F6742A">
        <w:t xml:space="preserve"> of childbearing age without consistent birth control </w:t>
      </w:r>
    </w:p>
    <w:p w14:paraId="77CF6A99" w14:textId="721E2F10" w:rsidR="0045506B" w:rsidRDefault="00F9257B" w:rsidP="00E40728">
      <w:pPr>
        <w:pStyle w:val="ListParagraph"/>
        <w:numPr>
          <w:ilvl w:val="0"/>
          <w:numId w:val="2"/>
        </w:numPr>
        <w:spacing w:after="0"/>
      </w:pPr>
      <w:r>
        <w:t>People</w:t>
      </w:r>
      <w:r w:rsidR="00F6742A">
        <w:t xml:space="preserve"> with an allergy to doxycycline </w:t>
      </w:r>
    </w:p>
    <w:p w14:paraId="6A6C640C" w14:textId="598934CE" w:rsidR="00F9257B" w:rsidRDefault="00F9257B" w:rsidP="00E40728">
      <w:pPr>
        <w:pStyle w:val="ListParagraph"/>
        <w:numPr>
          <w:ilvl w:val="0"/>
          <w:numId w:val="2"/>
        </w:numPr>
        <w:spacing w:after="0"/>
      </w:pPr>
      <w:r>
        <w:t xml:space="preserve">People with early syphilis (primary, secondary, early latent) </w:t>
      </w:r>
    </w:p>
    <w:p w14:paraId="1FEB6A02" w14:textId="57EFA161" w:rsidR="0045506B" w:rsidRDefault="00F9257B" w:rsidP="00E40728">
      <w:pPr>
        <w:pStyle w:val="ListParagraph"/>
        <w:numPr>
          <w:ilvl w:val="0"/>
          <w:numId w:val="2"/>
        </w:numPr>
        <w:spacing w:after="0"/>
      </w:pPr>
      <w:r>
        <w:t>People</w:t>
      </w:r>
      <w:r w:rsidR="00F6742A">
        <w:t xml:space="preserve"> </w:t>
      </w:r>
      <w:r>
        <w:t>living</w:t>
      </w:r>
      <w:r w:rsidR="00F6742A">
        <w:t xml:space="preserve"> with HIV</w:t>
      </w:r>
    </w:p>
    <w:p w14:paraId="6614F0EE" w14:textId="61BA6139" w:rsidR="00F9257B" w:rsidRDefault="00F9257B" w:rsidP="00E40728">
      <w:pPr>
        <w:pStyle w:val="ListParagraph"/>
        <w:numPr>
          <w:ilvl w:val="0"/>
          <w:numId w:val="2"/>
        </w:numPr>
        <w:spacing w:after="0"/>
      </w:pPr>
      <w:r>
        <w:t xml:space="preserve">People for whom doxycycline adherence </w:t>
      </w:r>
      <w:r w:rsidR="00FF3D88">
        <w:t>or follow-up</w:t>
      </w:r>
      <w:r w:rsidR="00DA0FB8">
        <w:t xml:space="preserve"> testing and care</w:t>
      </w:r>
      <w:r w:rsidR="00FF3D88">
        <w:t xml:space="preserve"> </w:t>
      </w:r>
      <w:r>
        <w:t>m</w:t>
      </w:r>
      <w:r w:rsidR="00FF3D88">
        <w:t>ight</w:t>
      </w:r>
      <w:r>
        <w:t xml:space="preserve"> be an issue </w:t>
      </w:r>
    </w:p>
    <w:p w14:paraId="4D7E3429" w14:textId="330545ED" w:rsidR="00F9257B" w:rsidRDefault="00F9257B" w:rsidP="00E40728">
      <w:pPr>
        <w:pStyle w:val="ListParagraph"/>
        <w:numPr>
          <w:ilvl w:val="0"/>
          <w:numId w:val="2"/>
        </w:numPr>
        <w:spacing w:after="0"/>
      </w:pPr>
      <w:r>
        <w:t>People</w:t>
      </w:r>
      <w:r w:rsidR="00F6742A">
        <w:t xml:space="preserve"> who have already initiated</w:t>
      </w:r>
      <w:r w:rsidR="00312B46">
        <w:t xml:space="preserve"> </w:t>
      </w:r>
      <w:r w:rsidR="00F6742A">
        <w:t xml:space="preserve">a 3-week course of Bicillin L-A® </w:t>
      </w:r>
      <w:r w:rsidR="00312B46">
        <w:t>to treat s</w:t>
      </w:r>
      <w:r w:rsidR="00F6742A">
        <w:t xml:space="preserve">yphilis </w:t>
      </w:r>
    </w:p>
    <w:p w14:paraId="2237106D" w14:textId="77777777" w:rsidR="0089776B" w:rsidRDefault="0089776B" w:rsidP="0089776B">
      <w:pPr>
        <w:spacing w:after="0"/>
        <w:rPr>
          <w:b/>
          <w:bCs/>
          <w:i/>
          <w:iCs/>
        </w:rPr>
      </w:pPr>
    </w:p>
    <w:p w14:paraId="79966A70" w14:textId="62EFBD1E" w:rsidR="00F9257B" w:rsidRPr="00F9257B" w:rsidRDefault="00D94E0B" w:rsidP="00E40728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Considerations for syphilis treatment with d</w:t>
      </w:r>
      <w:r w:rsidR="00306CD9">
        <w:rPr>
          <w:b/>
          <w:bCs/>
          <w:i/>
          <w:iCs/>
        </w:rPr>
        <w:t>oxycycline (alternate</w:t>
      </w:r>
      <w:r>
        <w:rPr>
          <w:b/>
          <w:bCs/>
          <w:i/>
          <w:iCs/>
        </w:rPr>
        <w:t xml:space="preserve"> </w:t>
      </w:r>
      <w:r w:rsidR="007146FA">
        <w:rPr>
          <w:b/>
          <w:bCs/>
          <w:i/>
          <w:iCs/>
        </w:rPr>
        <w:t xml:space="preserve">treatment </w:t>
      </w:r>
      <w:r w:rsidR="00306CD9">
        <w:rPr>
          <w:b/>
          <w:bCs/>
          <w:i/>
          <w:iCs/>
        </w:rPr>
        <w:t xml:space="preserve">for non-pregnant </w:t>
      </w:r>
      <w:r w:rsidR="00713CD2">
        <w:rPr>
          <w:b/>
          <w:bCs/>
          <w:i/>
          <w:iCs/>
        </w:rPr>
        <w:t>patients</w:t>
      </w:r>
      <w:r w:rsidR="00C61768">
        <w:rPr>
          <w:b/>
          <w:bCs/>
          <w:i/>
          <w:iCs/>
        </w:rPr>
        <w:t xml:space="preserve">) </w:t>
      </w:r>
    </w:p>
    <w:p w14:paraId="020295E6" w14:textId="0DF3495A" w:rsidR="0045506B" w:rsidRDefault="007146FA" w:rsidP="00E40728">
      <w:pPr>
        <w:pStyle w:val="ListParagraph"/>
        <w:numPr>
          <w:ilvl w:val="0"/>
          <w:numId w:val="2"/>
        </w:numPr>
        <w:spacing w:after="0"/>
      </w:pPr>
      <w:r>
        <w:t>Dosing for e</w:t>
      </w:r>
      <w:r w:rsidR="00F6742A">
        <w:t>arly syphilis (primary, secondary, or early latent): Doxycycline 100mg by mouth twice daily for 14 days.</w:t>
      </w:r>
    </w:p>
    <w:p w14:paraId="57D56F1F" w14:textId="62324187" w:rsidR="0045506B" w:rsidRDefault="007146FA" w:rsidP="00E40728">
      <w:pPr>
        <w:pStyle w:val="ListParagraph"/>
        <w:numPr>
          <w:ilvl w:val="0"/>
          <w:numId w:val="2"/>
        </w:numPr>
        <w:spacing w:after="0"/>
      </w:pPr>
      <w:r>
        <w:t>Dosing for l</w:t>
      </w:r>
      <w:r w:rsidR="00F6742A">
        <w:t xml:space="preserve">ate syphilis (late latent or </w:t>
      </w:r>
      <w:r w:rsidR="00F6742A" w:rsidRPr="00312B46">
        <w:t>unknown duration</w:t>
      </w:r>
      <w:r w:rsidR="00F6742A">
        <w:t>): Doxycycline 100mg by mouth twice</w:t>
      </w:r>
      <w:r>
        <w:t xml:space="preserve"> </w:t>
      </w:r>
      <w:r w:rsidR="00F6742A">
        <w:t xml:space="preserve">daily for 28 days. </w:t>
      </w:r>
    </w:p>
    <w:p w14:paraId="68C6D281" w14:textId="08954E98" w:rsidR="0045506B" w:rsidRDefault="00725F7A" w:rsidP="00E40728">
      <w:pPr>
        <w:pStyle w:val="ListParagraph"/>
        <w:numPr>
          <w:ilvl w:val="0"/>
          <w:numId w:val="3"/>
        </w:numPr>
        <w:spacing w:after="0"/>
      </w:pPr>
      <w:r>
        <w:t>Per CDC treatment guidelines</w:t>
      </w:r>
      <w:r w:rsidR="00574D02">
        <w:t xml:space="preserve">, </w:t>
      </w:r>
      <w:r w:rsidR="00543C4A">
        <w:t>patients</w:t>
      </w:r>
      <w:r w:rsidR="00574D02">
        <w:t xml:space="preserve"> treated with </w:t>
      </w:r>
      <w:r>
        <w:t xml:space="preserve">doxycycline should </w:t>
      </w:r>
      <w:r w:rsidR="00574D02">
        <w:t xml:space="preserve">have </w:t>
      </w:r>
      <w:r>
        <w:t xml:space="preserve">close serologic and clinical follow-up, especially </w:t>
      </w:r>
      <w:r w:rsidR="00574D02">
        <w:t xml:space="preserve">individuals </w:t>
      </w:r>
      <w:r>
        <w:t xml:space="preserve">with HIV infection. </w:t>
      </w:r>
      <w:r w:rsidR="00F6742A">
        <w:t xml:space="preserve">Follow RPR titers to ensure a 4-fold decrease is achieved in 6 to 12 months. </w:t>
      </w:r>
    </w:p>
    <w:p w14:paraId="716F097D" w14:textId="434E5E9C" w:rsidR="006D2732" w:rsidRDefault="00F6742A" w:rsidP="00E40728">
      <w:pPr>
        <w:pStyle w:val="ListParagraph"/>
        <w:numPr>
          <w:ilvl w:val="0"/>
          <w:numId w:val="3"/>
        </w:numPr>
        <w:spacing w:after="0"/>
      </w:pPr>
      <w:r>
        <w:t xml:space="preserve">Patients receiving alternative treatment with doxycycline should receive education on the importance of adherence. </w:t>
      </w:r>
    </w:p>
    <w:sectPr w:rsidR="006D273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2EE0F" w14:textId="77777777" w:rsidR="00CF6333" w:rsidRDefault="00CF6333" w:rsidP="00CF6333">
      <w:pPr>
        <w:spacing w:after="0" w:line="240" w:lineRule="auto"/>
      </w:pPr>
      <w:r>
        <w:separator/>
      </w:r>
    </w:p>
  </w:endnote>
  <w:endnote w:type="continuationSeparator" w:id="0">
    <w:p w14:paraId="383DF97C" w14:textId="77777777" w:rsidR="00CF6333" w:rsidRDefault="00CF6333" w:rsidP="00CF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E3AF6" w14:textId="5F9D870D" w:rsidR="001A0890" w:rsidRPr="00A81C72" w:rsidRDefault="00C03DAE" w:rsidP="00C03DAE">
    <w:pPr>
      <w:spacing w:after="0" w:line="240" w:lineRule="auto"/>
      <w:rPr>
        <w:color w:val="3B3838" w:themeColor="background2" w:themeShade="40"/>
      </w:rPr>
    </w:pPr>
    <w:r w:rsidRPr="00A81C72">
      <w:rPr>
        <w:rFonts w:ascii="Segoe UI" w:eastAsia="Times New Roman" w:hAnsi="Segoe UI" w:cs="Segoe UI"/>
        <w:i/>
        <w:iCs/>
        <w:color w:val="3B3838" w:themeColor="background2" w:themeShade="40"/>
        <w:sz w:val="20"/>
        <w:szCs w:val="20"/>
      </w:rPr>
      <w:t xml:space="preserve">To request this document in another format, call 1-800-525-0127. Deaf or hard of hearing customers, please call 711 (Washington Relay) or email </w:t>
    </w:r>
    <w:hyperlink r:id="rId1" w:history="1">
      <w:r w:rsidRPr="00A81C72">
        <w:rPr>
          <w:rStyle w:val="Hyperlink"/>
          <w:rFonts w:ascii="Segoe UI" w:eastAsia="Times New Roman" w:hAnsi="Segoe UI" w:cs="Segoe UI"/>
          <w:i/>
          <w:iCs/>
          <w:color w:val="3B3838" w:themeColor="background2" w:themeShade="40"/>
          <w:sz w:val="20"/>
          <w:szCs w:val="20"/>
        </w:rPr>
        <w:t>civil.rights@doh.wa.gov</w:t>
      </w:r>
    </w:hyperlink>
    <w:r w:rsidRPr="00A81C72">
      <w:rPr>
        <w:rFonts w:ascii="Segoe UI" w:eastAsia="Times New Roman" w:hAnsi="Segoe UI" w:cs="Segoe UI"/>
        <w:i/>
        <w:iCs/>
        <w:color w:val="3B3838" w:themeColor="background2" w:themeShade="40"/>
        <w:sz w:val="20"/>
        <w:szCs w:val="20"/>
      </w:rPr>
      <w:t>.</w:t>
    </w:r>
    <w:r w:rsidRPr="00A81C72">
      <w:rPr>
        <w:rFonts w:ascii="Segoe UI" w:eastAsia="Times New Roman" w:hAnsi="Segoe UI" w:cs="Segoe UI"/>
        <w:i/>
        <w:iCs/>
        <w:color w:val="3B3838" w:themeColor="background2" w:themeShade="40"/>
        <w:sz w:val="20"/>
        <w:szCs w:val="20"/>
      </w:rPr>
      <w:tab/>
    </w:r>
    <w:r w:rsidRPr="00A81C72">
      <w:rPr>
        <w:rFonts w:ascii="Segoe UI" w:eastAsia="Times New Roman" w:hAnsi="Segoe UI" w:cs="Segoe UI"/>
        <w:b/>
        <w:bCs/>
        <w:i/>
        <w:iCs/>
        <w:color w:val="3B3838" w:themeColor="background2" w:themeShade="40"/>
        <w:sz w:val="20"/>
        <w:szCs w:val="20"/>
      </w:rPr>
      <w:t>DOH 150-223 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5312C" w14:textId="77777777" w:rsidR="00CF6333" w:rsidRDefault="00CF6333" w:rsidP="00CF6333">
      <w:pPr>
        <w:spacing w:after="0" w:line="240" w:lineRule="auto"/>
      </w:pPr>
      <w:r>
        <w:separator/>
      </w:r>
    </w:p>
  </w:footnote>
  <w:footnote w:type="continuationSeparator" w:id="0">
    <w:p w14:paraId="6FCC62B2" w14:textId="77777777" w:rsidR="00CF6333" w:rsidRDefault="00CF6333" w:rsidP="00CF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953BA" w14:textId="7264E267" w:rsidR="00C03DAE" w:rsidRDefault="00C03DAE">
    <w:pPr>
      <w:pStyle w:val="Header"/>
    </w:pPr>
    <w:r>
      <w:tab/>
    </w:r>
    <w:r>
      <w:rPr>
        <w:noProof/>
      </w:rPr>
      <w:drawing>
        <wp:inline distT="0" distB="0" distL="0" distR="0" wp14:anchorId="78D5E223" wp14:editId="548FE23A">
          <wp:extent cx="2204849" cy="648970"/>
          <wp:effectExtent l="0" t="0" r="5080" b="0"/>
          <wp:docPr id="17861469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688" cy="655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30EE"/>
    <w:multiLevelType w:val="hybridMultilevel"/>
    <w:tmpl w:val="9538F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623F6"/>
    <w:multiLevelType w:val="hybridMultilevel"/>
    <w:tmpl w:val="9216D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102B2"/>
    <w:multiLevelType w:val="hybridMultilevel"/>
    <w:tmpl w:val="2154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B5904"/>
    <w:multiLevelType w:val="hybridMultilevel"/>
    <w:tmpl w:val="61625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077140">
    <w:abstractNumId w:val="0"/>
  </w:num>
  <w:num w:numId="2" w16cid:durableId="1482424844">
    <w:abstractNumId w:val="3"/>
  </w:num>
  <w:num w:numId="3" w16cid:durableId="81686759">
    <w:abstractNumId w:val="1"/>
  </w:num>
  <w:num w:numId="4" w16cid:durableId="1081949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2A"/>
    <w:rsid w:val="000330F0"/>
    <w:rsid w:val="00057D10"/>
    <w:rsid w:val="000745CD"/>
    <w:rsid w:val="001366D0"/>
    <w:rsid w:val="001404CF"/>
    <w:rsid w:val="00157EDC"/>
    <w:rsid w:val="00184A63"/>
    <w:rsid w:val="00186E7B"/>
    <w:rsid w:val="001A0890"/>
    <w:rsid w:val="001B3200"/>
    <w:rsid w:val="001C24A0"/>
    <w:rsid w:val="001D2CCA"/>
    <w:rsid w:val="00246E66"/>
    <w:rsid w:val="00290D50"/>
    <w:rsid w:val="0029384E"/>
    <w:rsid w:val="002B472D"/>
    <w:rsid w:val="002B77F9"/>
    <w:rsid w:val="002E04FB"/>
    <w:rsid w:val="00306CD9"/>
    <w:rsid w:val="00312B46"/>
    <w:rsid w:val="00313AFE"/>
    <w:rsid w:val="003263EB"/>
    <w:rsid w:val="0035540A"/>
    <w:rsid w:val="00382FC5"/>
    <w:rsid w:val="003B48D2"/>
    <w:rsid w:val="0042581F"/>
    <w:rsid w:val="0045506B"/>
    <w:rsid w:val="004A706B"/>
    <w:rsid w:val="004A7FF7"/>
    <w:rsid w:val="004D460A"/>
    <w:rsid w:val="004F171E"/>
    <w:rsid w:val="00512B77"/>
    <w:rsid w:val="005132A7"/>
    <w:rsid w:val="00535FA4"/>
    <w:rsid w:val="00543C4A"/>
    <w:rsid w:val="00574D02"/>
    <w:rsid w:val="005F261A"/>
    <w:rsid w:val="006E73BC"/>
    <w:rsid w:val="00713CD2"/>
    <w:rsid w:val="007146FA"/>
    <w:rsid w:val="00725F7A"/>
    <w:rsid w:val="00754A6C"/>
    <w:rsid w:val="00755FF7"/>
    <w:rsid w:val="00826D02"/>
    <w:rsid w:val="008528CF"/>
    <w:rsid w:val="00891FCF"/>
    <w:rsid w:val="0089776B"/>
    <w:rsid w:val="008C5258"/>
    <w:rsid w:val="008D1419"/>
    <w:rsid w:val="00983433"/>
    <w:rsid w:val="00992729"/>
    <w:rsid w:val="009C32D0"/>
    <w:rsid w:val="00A22B2F"/>
    <w:rsid w:val="00A57EB7"/>
    <w:rsid w:val="00A81C72"/>
    <w:rsid w:val="00AD434A"/>
    <w:rsid w:val="00AD6135"/>
    <w:rsid w:val="00AF4F92"/>
    <w:rsid w:val="00BC3952"/>
    <w:rsid w:val="00BF2428"/>
    <w:rsid w:val="00BF4FF3"/>
    <w:rsid w:val="00C03DAE"/>
    <w:rsid w:val="00C61768"/>
    <w:rsid w:val="00C8280A"/>
    <w:rsid w:val="00CF6333"/>
    <w:rsid w:val="00D50810"/>
    <w:rsid w:val="00D536CC"/>
    <w:rsid w:val="00D61D0A"/>
    <w:rsid w:val="00D93ABB"/>
    <w:rsid w:val="00D94E0B"/>
    <w:rsid w:val="00D95E89"/>
    <w:rsid w:val="00DA0FB8"/>
    <w:rsid w:val="00E3219D"/>
    <w:rsid w:val="00E40728"/>
    <w:rsid w:val="00ED5ECF"/>
    <w:rsid w:val="00F048D4"/>
    <w:rsid w:val="00F341F2"/>
    <w:rsid w:val="00F53A3C"/>
    <w:rsid w:val="00F6742A"/>
    <w:rsid w:val="00F9257B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883579"/>
  <w15:chartTrackingRefBased/>
  <w15:docId w15:val="{C68A7A4A-0C80-47B8-9EF7-DA653517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74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4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506B"/>
    <w:pPr>
      <w:ind w:left="720"/>
      <w:contextualSpacing/>
    </w:pPr>
  </w:style>
  <w:style w:type="paragraph" w:styleId="Revision">
    <w:name w:val="Revision"/>
    <w:hidden/>
    <w:uiPriority w:val="99"/>
    <w:semiHidden/>
    <w:rsid w:val="00BF4FF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4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4F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4F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F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F6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333"/>
  </w:style>
  <w:style w:type="paragraph" w:styleId="Footer">
    <w:name w:val="footer"/>
    <w:basedOn w:val="Normal"/>
    <w:link w:val="FooterChar"/>
    <w:uiPriority w:val="99"/>
    <w:unhideWhenUsed/>
    <w:rsid w:val="00CF6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essdata.fda.gov/scripts/drugshortages/default.cf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std/treatment/drug-notices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vil.rights@doh.w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2770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Bryan, Zandt (DOH)</dc:creator>
  <cp:keywords/>
  <dc:description/>
  <cp:lastModifiedBy>Schuler, Barbara  (DOH)</cp:lastModifiedBy>
  <cp:revision>2</cp:revision>
  <dcterms:created xsi:type="dcterms:W3CDTF">2023-06-15T21:59:00Z</dcterms:created>
  <dcterms:modified xsi:type="dcterms:W3CDTF">2023-06-15T21:59:00Z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2023-06-02T19:01:54Z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e7902ab7-7143-48b9-8cb4-68c7475f46d1</vt:lpwstr>
  </property>
  <property fmtid="{D5CDD505-2E9C-101B-9397-08002B2CF9AE}" pid="8" name="MSIP_Label_1520fa42-cf58-4c22-8b93-58cf1d3bd1cb_ContentBits">
    <vt:lpwstr>0</vt:lpwstr>
  </property>
</Properties>
</file>