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0C3B" w14:textId="77777777" w:rsidR="00C87671" w:rsidRDefault="007F7833">
      <w:r>
        <w:rPr>
          <w:noProof/>
        </w:rPr>
        <w:drawing>
          <wp:inline distT="0" distB="0" distL="0" distR="0" wp14:anchorId="02C8FC66" wp14:editId="7387768B">
            <wp:extent cx="2104763" cy="619125"/>
            <wp:effectExtent l="0" t="0" r="0" b="0"/>
            <wp:docPr id="604707723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07723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46" cy="6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1750" w14:textId="77777777" w:rsidR="00C87671" w:rsidRDefault="00C87671"/>
    <w:p w14:paraId="788336C5" w14:textId="77777777" w:rsidR="00567085" w:rsidRDefault="00C87671" w:rsidP="00871012">
      <w:pPr>
        <w:rPr>
          <w:szCs w:val="24"/>
        </w:rPr>
      </w:pPr>
      <w:r w:rsidRPr="004B1BD2">
        <w:rPr>
          <w:szCs w:val="24"/>
        </w:rPr>
        <w:t>Comprehensive Hospital Abstract Reporting System (CHARS)</w:t>
      </w:r>
    </w:p>
    <w:p w14:paraId="5CD9142F" w14:textId="77777777" w:rsidR="00871012" w:rsidRDefault="00871012" w:rsidP="00871012">
      <w:pPr>
        <w:rPr>
          <w:szCs w:val="24"/>
        </w:rPr>
      </w:pPr>
      <w:r w:rsidRPr="00871012">
        <w:rPr>
          <w:szCs w:val="24"/>
        </w:rPr>
        <w:t>Hospital Inpatient</w:t>
      </w:r>
      <w:r w:rsidR="00567085">
        <w:rPr>
          <w:szCs w:val="24"/>
        </w:rPr>
        <w:t xml:space="preserve"> and Observation</w:t>
      </w:r>
      <w:r w:rsidRPr="00871012">
        <w:rPr>
          <w:szCs w:val="24"/>
        </w:rPr>
        <w:t xml:space="preserve"> Dataset</w:t>
      </w:r>
      <w:r>
        <w:rPr>
          <w:szCs w:val="24"/>
        </w:rPr>
        <w:t xml:space="preserve">: </w:t>
      </w:r>
    </w:p>
    <w:p w14:paraId="0EE82937" w14:textId="77777777" w:rsidR="00871012" w:rsidRPr="00871012" w:rsidRDefault="00A74C04" w:rsidP="0087101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File</w:t>
      </w:r>
      <w:r w:rsidR="00871012" w:rsidRPr="00871012">
        <w:rPr>
          <w:b/>
          <w:sz w:val="28"/>
          <w:szCs w:val="24"/>
        </w:rPr>
        <w:t xml:space="preserve"> Information</w:t>
      </w:r>
    </w:p>
    <w:p w14:paraId="7B81EA29" w14:textId="77777777" w:rsidR="00C87671" w:rsidRPr="004B1BD2" w:rsidRDefault="00F916BA" w:rsidP="008233FC">
      <w:pPr>
        <w:rPr>
          <w:szCs w:val="24"/>
        </w:rPr>
      </w:pPr>
      <w:r>
        <w:rPr>
          <w:szCs w:val="24"/>
        </w:rPr>
        <w:t>Dear Data User</w:t>
      </w:r>
    </w:p>
    <w:p w14:paraId="4201162A" w14:textId="77777777" w:rsidR="00C87671" w:rsidRPr="000D2009" w:rsidRDefault="00C87671">
      <w:pPr>
        <w:rPr>
          <w:sz w:val="16"/>
          <w:szCs w:val="16"/>
        </w:rPr>
      </w:pPr>
    </w:p>
    <w:p w14:paraId="71412327" w14:textId="6CBCB051" w:rsidR="00D33484" w:rsidRPr="00C55D0C" w:rsidRDefault="000D2009" w:rsidP="007F7833">
      <w:pPr>
        <w:rPr>
          <w:b/>
          <w:i/>
          <w:szCs w:val="24"/>
        </w:rPr>
      </w:pPr>
      <w:r w:rsidRPr="004B1BD2">
        <w:rPr>
          <w:b/>
          <w:i/>
          <w:szCs w:val="24"/>
        </w:rPr>
        <w:t xml:space="preserve">For </w:t>
      </w:r>
      <w:r w:rsidR="007F7833">
        <w:rPr>
          <w:b/>
          <w:i/>
          <w:szCs w:val="24"/>
        </w:rPr>
        <w:t>f</w:t>
      </w:r>
      <w:r w:rsidRPr="004B1BD2">
        <w:rPr>
          <w:b/>
          <w:i/>
          <w:szCs w:val="24"/>
        </w:rPr>
        <w:t>ull</w:t>
      </w:r>
      <w:r w:rsidR="007F7833">
        <w:rPr>
          <w:b/>
          <w:i/>
          <w:szCs w:val="24"/>
        </w:rPr>
        <w:t xml:space="preserve"> or </w:t>
      </w:r>
      <w:r w:rsidR="00F916BA">
        <w:rPr>
          <w:b/>
          <w:i/>
          <w:szCs w:val="24"/>
        </w:rPr>
        <w:t>quarter</w:t>
      </w:r>
      <w:r w:rsidRPr="004B1BD2">
        <w:rPr>
          <w:b/>
          <w:i/>
          <w:szCs w:val="24"/>
        </w:rPr>
        <w:t xml:space="preserve"> year data</w:t>
      </w:r>
      <w:r w:rsidR="00CE16ED">
        <w:rPr>
          <w:b/>
          <w:i/>
          <w:szCs w:val="24"/>
        </w:rPr>
        <w:t xml:space="preserve"> requests</w:t>
      </w:r>
      <w:r w:rsidRPr="004B1BD2">
        <w:rPr>
          <w:b/>
          <w:i/>
          <w:szCs w:val="24"/>
        </w:rPr>
        <w:t xml:space="preserve">, </w:t>
      </w:r>
      <w:r w:rsidR="007F7833">
        <w:rPr>
          <w:b/>
          <w:i/>
          <w:szCs w:val="24"/>
        </w:rPr>
        <w:t xml:space="preserve">the zipped file will contain  </w:t>
      </w:r>
      <w:r w:rsidR="002B087B">
        <w:rPr>
          <w:b/>
          <w:i/>
          <w:szCs w:val="24"/>
        </w:rPr>
        <w:t>CSV</w:t>
      </w:r>
      <w:r w:rsidR="007F7833">
        <w:rPr>
          <w:b/>
          <w:i/>
          <w:szCs w:val="24"/>
        </w:rPr>
        <w:t xml:space="preserve"> (Comma Separated Values)</w:t>
      </w:r>
      <w:r w:rsidRPr="004B1BD2">
        <w:rPr>
          <w:b/>
          <w:i/>
          <w:szCs w:val="24"/>
        </w:rPr>
        <w:t xml:space="preserve"> </w:t>
      </w:r>
      <w:r w:rsidR="007F7833">
        <w:rPr>
          <w:b/>
          <w:i/>
          <w:szCs w:val="24"/>
        </w:rPr>
        <w:t xml:space="preserve">formatted </w:t>
      </w:r>
      <w:r w:rsidRPr="004B1BD2">
        <w:rPr>
          <w:b/>
          <w:i/>
          <w:szCs w:val="24"/>
        </w:rPr>
        <w:t>file</w:t>
      </w:r>
      <w:r w:rsidR="00CE16ED">
        <w:rPr>
          <w:b/>
          <w:i/>
          <w:szCs w:val="24"/>
        </w:rPr>
        <w:t>s</w:t>
      </w:r>
      <w:r w:rsidR="007F7833">
        <w:rPr>
          <w:b/>
          <w:i/>
          <w:szCs w:val="24"/>
        </w:rPr>
        <w:t>.</w:t>
      </w:r>
    </w:p>
    <w:p w14:paraId="6AEE77EA" w14:textId="77777777" w:rsidR="000D2009" w:rsidRPr="00C55D0C" w:rsidRDefault="000D2009">
      <w:pPr>
        <w:rPr>
          <w:sz w:val="16"/>
          <w:szCs w:val="16"/>
        </w:rPr>
      </w:pPr>
    </w:p>
    <w:p w14:paraId="597B49D0" w14:textId="4F3E6B66" w:rsidR="00C87671" w:rsidRPr="004B1BD2" w:rsidRDefault="00C87671">
      <w:pPr>
        <w:rPr>
          <w:szCs w:val="24"/>
        </w:rPr>
      </w:pPr>
      <w:r w:rsidRPr="004B1BD2">
        <w:rPr>
          <w:szCs w:val="24"/>
        </w:rPr>
        <w:t xml:space="preserve">For </w:t>
      </w:r>
      <w:r w:rsidR="0010340E">
        <w:rPr>
          <w:b/>
          <w:szCs w:val="24"/>
        </w:rPr>
        <w:t>CSV</w:t>
      </w:r>
      <w:r w:rsidRPr="004B1BD2">
        <w:rPr>
          <w:szCs w:val="24"/>
        </w:rPr>
        <w:t xml:space="preserve"> </w:t>
      </w:r>
      <w:r w:rsidR="008233FC" w:rsidRPr="004B1BD2">
        <w:rPr>
          <w:szCs w:val="24"/>
        </w:rPr>
        <w:t>f</w:t>
      </w:r>
      <w:r w:rsidRPr="004B1BD2">
        <w:rPr>
          <w:szCs w:val="24"/>
        </w:rPr>
        <w:t>ile</w:t>
      </w:r>
      <w:r w:rsidR="008233FC" w:rsidRPr="004B1BD2">
        <w:rPr>
          <w:szCs w:val="24"/>
        </w:rPr>
        <w:t>s</w:t>
      </w:r>
      <w:r w:rsidRPr="004B1BD2">
        <w:rPr>
          <w:szCs w:val="24"/>
        </w:rPr>
        <w:t xml:space="preserve">, there </w:t>
      </w:r>
      <w:r w:rsidR="0010340E">
        <w:rPr>
          <w:szCs w:val="24"/>
        </w:rPr>
        <w:t>are commas to separate the data fields, the title is in the first row and quotes are used around text data.</w:t>
      </w:r>
      <w:r w:rsidRPr="004B1BD2">
        <w:rPr>
          <w:szCs w:val="24"/>
        </w:rPr>
        <w:t xml:space="preserve">  Please refer to the file layout information for </w:t>
      </w:r>
      <w:r w:rsidR="0010340E">
        <w:rPr>
          <w:szCs w:val="24"/>
        </w:rPr>
        <w:t>more information</w:t>
      </w:r>
      <w:r w:rsidRPr="004B1BD2">
        <w:rPr>
          <w:szCs w:val="24"/>
        </w:rPr>
        <w:t xml:space="preserve"> </w:t>
      </w:r>
    </w:p>
    <w:p w14:paraId="69CB8980" w14:textId="77777777" w:rsidR="00DC1F56" w:rsidRDefault="00DC1F56" w:rsidP="008233FC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14:paraId="4066E4A4" w14:textId="75D7D187" w:rsidR="00C86CD4" w:rsidRDefault="00C86CD4" w:rsidP="00C86CD4">
      <w:pPr>
        <w:rPr>
          <w:szCs w:val="24"/>
        </w:rPr>
      </w:pPr>
      <w:r w:rsidRPr="004C01FA">
        <w:rPr>
          <w:szCs w:val="24"/>
        </w:rPr>
        <w:t xml:space="preserve">The data file names </w:t>
      </w:r>
      <w:r w:rsidR="006C2F52">
        <w:rPr>
          <w:szCs w:val="24"/>
        </w:rPr>
        <w:t xml:space="preserve">are assigned as listed below, followed by the year of discharge (e.g. Limited2022.csv) </w:t>
      </w:r>
    </w:p>
    <w:p w14:paraId="2A98A52E" w14:textId="77777777" w:rsidR="00147864" w:rsidRDefault="00147864" w:rsidP="00C86CD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84"/>
        <w:gridCol w:w="1716"/>
      </w:tblGrid>
      <w:tr w:rsidR="006C2F52" w:rsidRPr="00354848" w14:paraId="051C35C8" w14:textId="76FA7A0A" w:rsidTr="009657B5">
        <w:tc>
          <w:tcPr>
            <w:tcW w:w="2358" w:type="dxa"/>
            <w:shd w:val="clear" w:color="auto" w:fill="auto"/>
          </w:tcPr>
          <w:p w14:paraId="3D05A55C" w14:textId="00941BEF" w:rsidR="006C2F52" w:rsidRPr="00354848" w:rsidRDefault="006C2F52" w:rsidP="00C86CD4">
            <w:pPr>
              <w:rPr>
                <w:b/>
                <w:szCs w:val="24"/>
              </w:rPr>
            </w:pPr>
            <w:r w:rsidRPr="00354848">
              <w:rPr>
                <w:b/>
                <w:szCs w:val="24"/>
              </w:rPr>
              <w:t>Inpatient</w:t>
            </w:r>
            <w:r>
              <w:rPr>
                <w:b/>
                <w:szCs w:val="24"/>
              </w:rPr>
              <w:t xml:space="preserve"> Discharges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228BAC3" w14:textId="09B82D5F" w:rsidR="006C2F52" w:rsidRPr="00354848" w:rsidRDefault="006C2F52" w:rsidP="006C2F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File name</w:t>
            </w:r>
          </w:p>
        </w:tc>
      </w:tr>
      <w:tr w:rsidR="00917F0F" w:rsidRPr="00354848" w14:paraId="17C0396F" w14:textId="6F917852" w:rsidTr="00917F0F">
        <w:tc>
          <w:tcPr>
            <w:tcW w:w="2358" w:type="dxa"/>
            <w:shd w:val="clear" w:color="auto" w:fill="auto"/>
          </w:tcPr>
          <w:p w14:paraId="2647F1A1" w14:textId="77777777" w:rsidR="00917F0F" w:rsidRPr="00354848" w:rsidRDefault="00917F0F" w:rsidP="00917F0F">
            <w:pPr>
              <w:rPr>
                <w:b/>
                <w:szCs w:val="24"/>
              </w:rPr>
            </w:pPr>
            <w:r w:rsidRPr="00354848">
              <w:rPr>
                <w:b/>
                <w:szCs w:val="24"/>
              </w:rPr>
              <w:t>Contents</w:t>
            </w:r>
          </w:p>
        </w:tc>
        <w:tc>
          <w:tcPr>
            <w:tcW w:w="1784" w:type="dxa"/>
            <w:shd w:val="clear" w:color="auto" w:fill="auto"/>
          </w:tcPr>
          <w:p w14:paraId="310D7B44" w14:textId="7B176A8B" w:rsidR="00917F0F" w:rsidRPr="00354848" w:rsidRDefault="00917F0F" w:rsidP="00917F0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Through 2021</w:t>
            </w:r>
          </w:p>
        </w:tc>
        <w:tc>
          <w:tcPr>
            <w:tcW w:w="1716" w:type="dxa"/>
          </w:tcPr>
          <w:p w14:paraId="3AC1C572" w14:textId="4C5F48E9" w:rsidR="00917F0F" w:rsidRPr="00354848" w:rsidRDefault="00917F0F" w:rsidP="00917F0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2022 forward</w:t>
            </w:r>
          </w:p>
        </w:tc>
      </w:tr>
      <w:tr w:rsidR="00917F0F" w:rsidRPr="00354848" w14:paraId="4AB0A695" w14:textId="36C0874C" w:rsidTr="00917F0F">
        <w:tc>
          <w:tcPr>
            <w:tcW w:w="2358" w:type="dxa"/>
            <w:shd w:val="clear" w:color="auto" w:fill="auto"/>
          </w:tcPr>
          <w:p w14:paraId="44680F98" w14:textId="3109B0F3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Clinical</w:t>
            </w:r>
            <w:r w:rsidR="006C2F52">
              <w:rPr>
                <w:szCs w:val="24"/>
              </w:rPr>
              <w:t>*</w:t>
            </w:r>
          </w:p>
        </w:tc>
        <w:tc>
          <w:tcPr>
            <w:tcW w:w="1784" w:type="dxa"/>
            <w:shd w:val="clear" w:color="auto" w:fill="auto"/>
          </w:tcPr>
          <w:p w14:paraId="672B23DE" w14:textId="613F8BC0" w:rsidR="00917F0F" w:rsidRPr="00354848" w:rsidRDefault="006C2F52" w:rsidP="00917F0F">
            <w:pPr>
              <w:rPr>
                <w:szCs w:val="24"/>
              </w:rPr>
            </w:pPr>
            <w:r>
              <w:rPr>
                <w:szCs w:val="24"/>
              </w:rPr>
              <w:t>l</w:t>
            </w:r>
            <w:r w:rsidR="00917F0F" w:rsidRPr="00354848">
              <w:rPr>
                <w:szCs w:val="24"/>
              </w:rPr>
              <w:t>imited</w:t>
            </w:r>
          </w:p>
        </w:tc>
        <w:tc>
          <w:tcPr>
            <w:tcW w:w="1716" w:type="dxa"/>
          </w:tcPr>
          <w:p w14:paraId="13134322" w14:textId="58AABD30" w:rsidR="00917F0F" w:rsidRPr="00354848" w:rsidRDefault="00917F0F" w:rsidP="00917F0F">
            <w:pPr>
              <w:rPr>
                <w:szCs w:val="24"/>
              </w:rPr>
            </w:pPr>
            <w:r>
              <w:rPr>
                <w:szCs w:val="24"/>
              </w:rPr>
              <w:t>Limited</w:t>
            </w:r>
          </w:p>
        </w:tc>
      </w:tr>
      <w:tr w:rsidR="00917F0F" w:rsidRPr="00354848" w14:paraId="113F4E0C" w14:textId="65031EA1" w:rsidTr="00917F0F">
        <w:tc>
          <w:tcPr>
            <w:tcW w:w="2358" w:type="dxa"/>
            <w:shd w:val="clear" w:color="auto" w:fill="auto"/>
          </w:tcPr>
          <w:p w14:paraId="75F372AD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Diagnosis</w:t>
            </w:r>
          </w:p>
        </w:tc>
        <w:tc>
          <w:tcPr>
            <w:tcW w:w="1784" w:type="dxa"/>
            <w:shd w:val="clear" w:color="auto" w:fill="auto"/>
          </w:tcPr>
          <w:p w14:paraId="17833ACE" w14:textId="143F34FE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>
              <w:rPr>
                <w:szCs w:val="24"/>
              </w:rPr>
              <w:t>DIAG</w:t>
            </w:r>
          </w:p>
        </w:tc>
        <w:tc>
          <w:tcPr>
            <w:tcW w:w="1716" w:type="dxa"/>
          </w:tcPr>
          <w:p w14:paraId="43BAF7EE" w14:textId="73453015" w:rsidR="00917F0F" w:rsidRPr="00354848" w:rsidRDefault="00917F0F" w:rsidP="00917F0F">
            <w:pPr>
              <w:rPr>
                <w:szCs w:val="24"/>
              </w:rPr>
            </w:pPr>
            <w:r>
              <w:rPr>
                <w:szCs w:val="24"/>
              </w:rPr>
              <w:t>DIAG</w:t>
            </w:r>
          </w:p>
        </w:tc>
      </w:tr>
      <w:tr w:rsidR="00917F0F" w:rsidRPr="00354848" w14:paraId="135FA41A" w14:textId="76C63F72" w:rsidTr="00917F0F">
        <w:tc>
          <w:tcPr>
            <w:tcW w:w="2358" w:type="dxa"/>
            <w:shd w:val="clear" w:color="auto" w:fill="auto"/>
          </w:tcPr>
          <w:p w14:paraId="44A1CE31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External Cause Codes</w:t>
            </w:r>
          </w:p>
        </w:tc>
        <w:tc>
          <w:tcPr>
            <w:tcW w:w="1784" w:type="dxa"/>
            <w:shd w:val="clear" w:color="auto" w:fill="auto"/>
          </w:tcPr>
          <w:p w14:paraId="0E70119C" w14:textId="2FF29996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>
              <w:rPr>
                <w:szCs w:val="24"/>
              </w:rPr>
              <w:t>ECODE</w:t>
            </w:r>
          </w:p>
        </w:tc>
        <w:tc>
          <w:tcPr>
            <w:tcW w:w="1716" w:type="dxa"/>
          </w:tcPr>
          <w:p w14:paraId="2E7CFE63" w14:textId="2F5C57C5" w:rsidR="00917F0F" w:rsidRPr="00354848" w:rsidRDefault="00917F0F" w:rsidP="00917F0F">
            <w:pPr>
              <w:rPr>
                <w:szCs w:val="24"/>
              </w:rPr>
            </w:pPr>
            <w:r>
              <w:rPr>
                <w:szCs w:val="24"/>
              </w:rPr>
              <w:t>ECODE</w:t>
            </w:r>
          </w:p>
        </w:tc>
      </w:tr>
      <w:tr w:rsidR="00917F0F" w:rsidRPr="00354848" w14:paraId="3B8D7C36" w14:textId="0C37ED1E" w:rsidTr="00917F0F">
        <w:tc>
          <w:tcPr>
            <w:tcW w:w="2358" w:type="dxa"/>
            <w:shd w:val="clear" w:color="auto" w:fill="auto"/>
          </w:tcPr>
          <w:p w14:paraId="57272CEC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Procedures</w:t>
            </w:r>
          </w:p>
        </w:tc>
        <w:tc>
          <w:tcPr>
            <w:tcW w:w="1784" w:type="dxa"/>
            <w:shd w:val="clear" w:color="auto" w:fill="auto"/>
          </w:tcPr>
          <w:p w14:paraId="14F32B69" w14:textId="75550A4D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>
              <w:rPr>
                <w:szCs w:val="24"/>
              </w:rPr>
              <w:t>PPROC</w:t>
            </w:r>
          </w:p>
        </w:tc>
        <w:tc>
          <w:tcPr>
            <w:tcW w:w="1716" w:type="dxa"/>
          </w:tcPr>
          <w:p w14:paraId="58904082" w14:textId="662A9958" w:rsidR="00917F0F" w:rsidRPr="00354848" w:rsidRDefault="00917F0F" w:rsidP="00917F0F">
            <w:pPr>
              <w:rPr>
                <w:szCs w:val="24"/>
              </w:rPr>
            </w:pPr>
            <w:r>
              <w:rPr>
                <w:szCs w:val="24"/>
              </w:rPr>
              <w:t>PPROC</w:t>
            </w:r>
          </w:p>
        </w:tc>
      </w:tr>
      <w:tr w:rsidR="00917F0F" w:rsidRPr="00354848" w14:paraId="5903B0C4" w14:textId="3107A64D" w:rsidTr="00917F0F">
        <w:tc>
          <w:tcPr>
            <w:tcW w:w="2358" w:type="dxa"/>
            <w:shd w:val="clear" w:color="auto" w:fill="auto"/>
          </w:tcPr>
          <w:p w14:paraId="3DE2EF5F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Revenue</w:t>
            </w:r>
          </w:p>
        </w:tc>
        <w:tc>
          <w:tcPr>
            <w:tcW w:w="1784" w:type="dxa"/>
            <w:shd w:val="clear" w:color="auto" w:fill="auto"/>
          </w:tcPr>
          <w:p w14:paraId="4605DB7D" w14:textId="5C81377B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>
              <w:rPr>
                <w:szCs w:val="24"/>
              </w:rPr>
              <w:t>Rev</w:t>
            </w:r>
          </w:p>
        </w:tc>
        <w:tc>
          <w:tcPr>
            <w:tcW w:w="1716" w:type="dxa"/>
          </w:tcPr>
          <w:p w14:paraId="0D83A11B" w14:textId="74C3202C" w:rsidR="00917F0F" w:rsidRPr="00354848" w:rsidRDefault="006C2F52" w:rsidP="00917F0F">
            <w:pPr>
              <w:rPr>
                <w:szCs w:val="24"/>
              </w:rPr>
            </w:pPr>
            <w:r>
              <w:rPr>
                <w:szCs w:val="24"/>
              </w:rPr>
              <w:t>REV</w:t>
            </w:r>
          </w:p>
        </w:tc>
      </w:tr>
    </w:tbl>
    <w:p w14:paraId="7DA124D8" w14:textId="77777777" w:rsidR="00147864" w:rsidRDefault="00147864" w:rsidP="00C86CD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84"/>
        <w:gridCol w:w="1716"/>
      </w:tblGrid>
      <w:tr w:rsidR="006C2F52" w:rsidRPr="00354848" w14:paraId="20A7F4CC" w14:textId="31280A6F" w:rsidTr="00CC0388">
        <w:tc>
          <w:tcPr>
            <w:tcW w:w="2358" w:type="dxa"/>
            <w:shd w:val="clear" w:color="auto" w:fill="auto"/>
          </w:tcPr>
          <w:p w14:paraId="2A0F63E9" w14:textId="16EFF105" w:rsidR="006C2F52" w:rsidRPr="00354848" w:rsidRDefault="006C2F52" w:rsidP="007F7833">
            <w:pPr>
              <w:rPr>
                <w:b/>
                <w:szCs w:val="24"/>
              </w:rPr>
            </w:pPr>
            <w:r w:rsidRPr="00354848">
              <w:rPr>
                <w:b/>
                <w:szCs w:val="24"/>
              </w:rPr>
              <w:t>Observation</w:t>
            </w:r>
            <w:r>
              <w:rPr>
                <w:b/>
                <w:szCs w:val="24"/>
              </w:rPr>
              <w:t xml:space="preserve"> Stays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6825031D" w14:textId="30D71428" w:rsidR="006C2F52" w:rsidRPr="00354848" w:rsidRDefault="006C2F52" w:rsidP="006C2F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File Name</w:t>
            </w:r>
          </w:p>
        </w:tc>
      </w:tr>
      <w:tr w:rsidR="00917F0F" w:rsidRPr="00354848" w14:paraId="26B117FA" w14:textId="6EF55D1E" w:rsidTr="00917F0F">
        <w:tc>
          <w:tcPr>
            <w:tcW w:w="2358" w:type="dxa"/>
            <w:shd w:val="clear" w:color="auto" w:fill="auto"/>
          </w:tcPr>
          <w:p w14:paraId="666705D5" w14:textId="77777777" w:rsidR="00917F0F" w:rsidRPr="00354848" w:rsidRDefault="00917F0F" w:rsidP="00917F0F">
            <w:pPr>
              <w:rPr>
                <w:b/>
                <w:szCs w:val="24"/>
              </w:rPr>
            </w:pPr>
            <w:r w:rsidRPr="00354848">
              <w:rPr>
                <w:b/>
                <w:szCs w:val="24"/>
              </w:rPr>
              <w:t>Contents</w:t>
            </w:r>
          </w:p>
        </w:tc>
        <w:tc>
          <w:tcPr>
            <w:tcW w:w="1784" w:type="dxa"/>
            <w:shd w:val="clear" w:color="auto" w:fill="auto"/>
          </w:tcPr>
          <w:p w14:paraId="1957A069" w14:textId="4FA24116" w:rsidR="00917F0F" w:rsidRPr="00354848" w:rsidRDefault="00917F0F" w:rsidP="00917F0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Through 2021</w:t>
            </w:r>
          </w:p>
        </w:tc>
        <w:tc>
          <w:tcPr>
            <w:tcW w:w="1716" w:type="dxa"/>
          </w:tcPr>
          <w:p w14:paraId="56022782" w14:textId="1EA7B69F" w:rsidR="00917F0F" w:rsidRPr="00354848" w:rsidRDefault="00917F0F" w:rsidP="00917F0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2022 forward</w:t>
            </w:r>
          </w:p>
        </w:tc>
      </w:tr>
      <w:tr w:rsidR="00917F0F" w:rsidRPr="00354848" w14:paraId="5D8F2897" w14:textId="2BB27760" w:rsidTr="00917F0F">
        <w:tc>
          <w:tcPr>
            <w:tcW w:w="2358" w:type="dxa"/>
            <w:shd w:val="clear" w:color="auto" w:fill="auto"/>
          </w:tcPr>
          <w:p w14:paraId="72F18644" w14:textId="217C1A4D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Clinical</w:t>
            </w:r>
            <w:r w:rsidR="006C2F52">
              <w:rPr>
                <w:szCs w:val="24"/>
              </w:rPr>
              <w:t>*</w:t>
            </w:r>
          </w:p>
        </w:tc>
        <w:tc>
          <w:tcPr>
            <w:tcW w:w="1784" w:type="dxa"/>
            <w:shd w:val="clear" w:color="auto" w:fill="auto"/>
          </w:tcPr>
          <w:p w14:paraId="36B8E49A" w14:textId="465A3CCD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limitedo</w:t>
            </w:r>
          </w:p>
        </w:tc>
        <w:tc>
          <w:tcPr>
            <w:tcW w:w="1716" w:type="dxa"/>
          </w:tcPr>
          <w:p w14:paraId="789A6CD9" w14:textId="6BC47D5D" w:rsidR="00917F0F" w:rsidRPr="00354848" w:rsidRDefault="00CE16ED" w:rsidP="00917F0F">
            <w:pPr>
              <w:rPr>
                <w:szCs w:val="24"/>
              </w:rPr>
            </w:pPr>
            <w:r>
              <w:rPr>
                <w:szCs w:val="24"/>
              </w:rPr>
              <w:t>Limitedo</w:t>
            </w:r>
          </w:p>
        </w:tc>
      </w:tr>
      <w:tr w:rsidR="00917F0F" w:rsidRPr="00354848" w14:paraId="40AD3BF4" w14:textId="574EABE7" w:rsidTr="00917F0F">
        <w:tc>
          <w:tcPr>
            <w:tcW w:w="2358" w:type="dxa"/>
            <w:shd w:val="clear" w:color="auto" w:fill="auto"/>
          </w:tcPr>
          <w:p w14:paraId="58150F95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Diagnosis</w:t>
            </w:r>
          </w:p>
        </w:tc>
        <w:tc>
          <w:tcPr>
            <w:tcW w:w="1784" w:type="dxa"/>
            <w:shd w:val="clear" w:color="auto" w:fill="auto"/>
          </w:tcPr>
          <w:p w14:paraId="3B03A218" w14:textId="12235273" w:rsidR="00917F0F" w:rsidRPr="00354848" w:rsidRDefault="006C2F52" w:rsidP="00917F0F">
            <w:pPr>
              <w:rPr>
                <w:szCs w:val="24"/>
              </w:rPr>
            </w:pPr>
            <w:r>
              <w:rPr>
                <w:szCs w:val="24"/>
              </w:rPr>
              <w:t>CDIAGo</w:t>
            </w:r>
          </w:p>
        </w:tc>
        <w:tc>
          <w:tcPr>
            <w:tcW w:w="1716" w:type="dxa"/>
          </w:tcPr>
          <w:p w14:paraId="0025AC7E" w14:textId="23EE693E" w:rsidR="00917F0F" w:rsidRPr="00354848" w:rsidRDefault="00CE16ED" w:rsidP="00917F0F">
            <w:pPr>
              <w:rPr>
                <w:szCs w:val="24"/>
              </w:rPr>
            </w:pPr>
            <w:r>
              <w:rPr>
                <w:szCs w:val="24"/>
              </w:rPr>
              <w:t>DIAGO</w:t>
            </w:r>
          </w:p>
        </w:tc>
      </w:tr>
      <w:tr w:rsidR="00917F0F" w:rsidRPr="00354848" w14:paraId="590682C8" w14:textId="4056FCA5" w:rsidTr="00917F0F">
        <w:tc>
          <w:tcPr>
            <w:tcW w:w="2358" w:type="dxa"/>
            <w:shd w:val="clear" w:color="auto" w:fill="auto"/>
          </w:tcPr>
          <w:p w14:paraId="50E1D37C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External Cause Codes</w:t>
            </w:r>
          </w:p>
        </w:tc>
        <w:tc>
          <w:tcPr>
            <w:tcW w:w="1784" w:type="dxa"/>
            <w:shd w:val="clear" w:color="auto" w:fill="auto"/>
          </w:tcPr>
          <w:p w14:paraId="027B1FB5" w14:textId="659F8586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 w:rsidR="006C2F52">
              <w:rPr>
                <w:szCs w:val="24"/>
              </w:rPr>
              <w:t>ECODEo</w:t>
            </w:r>
          </w:p>
        </w:tc>
        <w:tc>
          <w:tcPr>
            <w:tcW w:w="1716" w:type="dxa"/>
          </w:tcPr>
          <w:p w14:paraId="6427197C" w14:textId="10A4E1D2" w:rsidR="00917F0F" w:rsidRPr="00354848" w:rsidRDefault="00CE16ED" w:rsidP="00917F0F">
            <w:pPr>
              <w:rPr>
                <w:szCs w:val="24"/>
              </w:rPr>
            </w:pPr>
            <w:r>
              <w:rPr>
                <w:szCs w:val="24"/>
              </w:rPr>
              <w:t>ECODEO</w:t>
            </w:r>
          </w:p>
        </w:tc>
      </w:tr>
      <w:tr w:rsidR="00917F0F" w:rsidRPr="00354848" w14:paraId="1EB21DE6" w14:textId="4B09A694" w:rsidTr="00917F0F">
        <w:tc>
          <w:tcPr>
            <w:tcW w:w="2358" w:type="dxa"/>
            <w:shd w:val="clear" w:color="auto" w:fill="auto"/>
          </w:tcPr>
          <w:p w14:paraId="69D42299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Procedures</w:t>
            </w:r>
          </w:p>
        </w:tc>
        <w:tc>
          <w:tcPr>
            <w:tcW w:w="1784" w:type="dxa"/>
            <w:shd w:val="clear" w:color="auto" w:fill="auto"/>
          </w:tcPr>
          <w:p w14:paraId="0A402FA9" w14:textId="7913D69A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 w:rsidR="006C2F52">
              <w:rPr>
                <w:szCs w:val="24"/>
              </w:rPr>
              <w:t>PPROCo</w:t>
            </w:r>
          </w:p>
        </w:tc>
        <w:tc>
          <w:tcPr>
            <w:tcW w:w="1716" w:type="dxa"/>
          </w:tcPr>
          <w:p w14:paraId="4C485142" w14:textId="2E0C04FD" w:rsidR="00917F0F" w:rsidRPr="00354848" w:rsidRDefault="00CE16ED" w:rsidP="00917F0F">
            <w:pPr>
              <w:rPr>
                <w:szCs w:val="24"/>
              </w:rPr>
            </w:pPr>
            <w:r>
              <w:rPr>
                <w:szCs w:val="24"/>
              </w:rPr>
              <w:t>PPROCO</w:t>
            </w:r>
          </w:p>
        </w:tc>
      </w:tr>
      <w:tr w:rsidR="00917F0F" w:rsidRPr="00354848" w14:paraId="0DC0A925" w14:textId="0D62347C" w:rsidTr="00917F0F">
        <w:tc>
          <w:tcPr>
            <w:tcW w:w="2358" w:type="dxa"/>
            <w:shd w:val="clear" w:color="auto" w:fill="auto"/>
          </w:tcPr>
          <w:p w14:paraId="3231C93C" w14:textId="77777777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Revenue</w:t>
            </w:r>
          </w:p>
        </w:tc>
        <w:tc>
          <w:tcPr>
            <w:tcW w:w="1784" w:type="dxa"/>
            <w:shd w:val="clear" w:color="auto" w:fill="auto"/>
          </w:tcPr>
          <w:p w14:paraId="3B01E3FB" w14:textId="551DC575" w:rsidR="00917F0F" w:rsidRPr="00354848" w:rsidRDefault="00917F0F" w:rsidP="00917F0F">
            <w:pPr>
              <w:rPr>
                <w:szCs w:val="24"/>
              </w:rPr>
            </w:pPr>
            <w:r w:rsidRPr="00354848">
              <w:rPr>
                <w:szCs w:val="24"/>
              </w:rPr>
              <w:t>C</w:t>
            </w:r>
            <w:r w:rsidR="006C2F52">
              <w:rPr>
                <w:szCs w:val="24"/>
              </w:rPr>
              <w:t>PREVo</w:t>
            </w:r>
          </w:p>
        </w:tc>
        <w:tc>
          <w:tcPr>
            <w:tcW w:w="1716" w:type="dxa"/>
          </w:tcPr>
          <w:p w14:paraId="0B8434EB" w14:textId="2487013F" w:rsidR="00917F0F" w:rsidRPr="00354848" w:rsidRDefault="00CE16ED" w:rsidP="00917F0F">
            <w:pPr>
              <w:rPr>
                <w:szCs w:val="24"/>
              </w:rPr>
            </w:pPr>
            <w:r>
              <w:rPr>
                <w:szCs w:val="24"/>
              </w:rPr>
              <w:t>REVO</w:t>
            </w:r>
          </w:p>
        </w:tc>
      </w:tr>
    </w:tbl>
    <w:p w14:paraId="0555547E" w14:textId="54E5A2C2" w:rsidR="006C2F52" w:rsidRDefault="006C2F52" w:rsidP="006C2F52">
      <w:pPr>
        <w:rPr>
          <w:szCs w:val="24"/>
        </w:rPr>
      </w:pPr>
      <w:r>
        <w:rPr>
          <w:rFonts w:eastAsia="MS Mincho"/>
          <w:sz w:val="16"/>
          <w:szCs w:val="16"/>
        </w:rPr>
        <w:t>*</w:t>
      </w:r>
      <w:r w:rsidRPr="006C2F52">
        <w:rPr>
          <w:b/>
          <w:szCs w:val="24"/>
        </w:rPr>
        <w:t xml:space="preserve"> </w:t>
      </w:r>
      <w:r>
        <w:rPr>
          <w:b/>
          <w:szCs w:val="24"/>
        </w:rPr>
        <w:t>Clinical</w:t>
      </w:r>
      <w:r>
        <w:rPr>
          <w:szCs w:val="24"/>
        </w:rPr>
        <w:t xml:space="preserve"> </w:t>
      </w:r>
      <w:r>
        <w:rPr>
          <w:szCs w:val="24"/>
        </w:rPr>
        <w:t>files contain</w:t>
      </w:r>
      <w:r w:rsidR="00CE16ED">
        <w:rPr>
          <w:szCs w:val="24"/>
        </w:rPr>
        <w:t xml:space="preserve"> primarily</w:t>
      </w:r>
      <w:r>
        <w:rPr>
          <w:szCs w:val="24"/>
        </w:rPr>
        <w:t xml:space="preserve"> </w:t>
      </w:r>
      <w:r w:rsidRPr="004C01FA">
        <w:rPr>
          <w:b/>
          <w:szCs w:val="24"/>
        </w:rPr>
        <w:t>Demographic</w:t>
      </w:r>
      <w:r>
        <w:rPr>
          <w:szCs w:val="24"/>
        </w:rPr>
        <w:t xml:space="preserve"> and </w:t>
      </w:r>
      <w:r w:rsidRPr="004C01FA">
        <w:rPr>
          <w:b/>
          <w:szCs w:val="24"/>
        </w:rPr>
        <w:t>Clinical</w:t>
      </w:r>
      <w:r>
        <w:rPr>
          <w:szCs w:val="24"/>
        </w:rPr>
        <w:t xml:space="preserve"> data</w:t>
      </w:r>
    </w:p>
    <w:p w14:paraId="332596A8" w14:textId="35971BDF" w:rsidR="00147864" w:rsidRDefault="00147864" w:rsidP="008233FC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14:paraId="441176EF" w14:textId="77777777" w:rsidR="00501909" w:rsidRDefault="00501909" w:rsidP="008233FC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14:paraId="6D0C88BC" w14:textId="500A1162" w:rsidR="008233FC" w:rsidRDefault="00EA63C4" w:rsidP="008233F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The</w:t>
      </w:r>
      <w:r w:rsidR="00F916BA">
        <w:rPr>
          <w:rFonts w:ascii="Times New Roman" w:eastAsia="MS Mincho" w:hAnsi="Times New Roman" w:cs="Times New Roman"/>
          <w:sz w:val="24"/>
          <w:szCs w:val="24"/>
        </w:rPr>
        <w:t xml:space="preserve"> whole </w:t>
      </w:r>
      <w:r>
        <w:rPr>
          <w:rFonts w:ascii="Times New Roman" w:eastAsia="MS Mincho" w:hAnsi="Times New Roman" w:cs="Times New Roman"/>
          <w:sz w:val="24"/>
          <w:szCs w:val="24"/>
        </w:rPr>
        <w:t>data</w:t>
      </w:r>
      <w:r w:rsidR="00F916BA">
        <w:rPr>
          <w:rFonts w:ascii="Times New Roman" w:eastAsia="MS Mincho" w:hAnsi="Times New Roman" w:cs="Times New Roman"/>
          <w:sz w:val="24"/>
          <w:szCs w:val="24"/>
        </w:rPr>
        <w:t>set</w:t>
      </w:r>
      <w:r w:rsidR="00CE16ED">
        <w:rPr>
          <w:rFonts w:ascii="Times New Roman" w:eastAsia="MS Mincho" w:hAnsi="Times New Roman" w:cs="Times New Roman"/>
          <w:sz w:val="24"/>
          <w:szCs w:val="24"/>
        </w:rPr>
        <w:t xml:space="preserve"> (observational or inpatient file set)</w:t>
      </w:r>
      <w:r w:rsidR="00FE4194">
        <w:rPr>
          <w:rFonts w:ascii="Times New Roman" w:eastAsia="MS Mincho" w:hAnsi="Times New Roman" w:cs="Times New Roman"/>
          <w:sz w:val="24"/>
          <w:szCs w:val="24"/>
        </w:rPr>
        <w:t>, is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>ompressed or zipped</w:t>
      </w:r>
      <w:r w:rsidR="00CE16ED">
        <w:rPr>
          <w:rFonts w:ascii="Times New Roman" w:eastAsia="MS Mincho" w:hAnsi="Times New Roman" w:cs="Times New Roman"/>
          <w:sz w:val="24"/>
          <w:szCs w:val="24"/>
        </w:rPr>
        <w:t xml:space="preserve"> into one folder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>. The file do</w:t>
      </w:r>
      <w:r w:rsidR="00FE4194">
        <w:rPr>
          <w:rFonts w:ascii="Times New Roman" w:eastAsia="MS Mincho" w:hAnsi="Times New Roman" w:cs="Times New Roman"/>
          <w:sz w:val="24"/>
          <w:szCs w:val="24"/>
        </w:rPr>
        <w:t>es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 not need a unzip program as they are self-extracting </w:t>
      </w:r>
      <w:r w:rsidR="00147864">
        <w:rPr>
          <w:rFonts w:ascii="Times New Roman" w:eastAsia="MS Mincho" w:hAnsi="Times New Roman" w:cs="Times New Roman"/>
          <w:sz w:val="24"/>
          <w:szCs w:val="24"/>
        </w:rPr>
        <w:t>folder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s.  You </w:t>
      </w:r>
      <w:r w:rsidR="00F916BA">
        <w:rPr>
          <w:rFonts w:ascii="Times New Roman" w:eastAsia="MS Mincho" w:hAnsi="Times New Roman" w:cs="Times New Roman"/>
          <w:sz w:val="24"/>
          <w:szCs w:val="24"/>
        </w:rPr>
        <w:t>will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 uncompress </w:t>
      </w:r>
      <w:r w:rsidR="00F916BA">
        <w:rPr>
          <w:rFonts w:ascii="Times New Roman" w:eastAsia="MS Mincho" w:hAnsi="Times New Roman" w:cs="Times New Roman"/>
          <w:sz w:val="24"/>
          <w:szCs w:val="24"/>
        </w:rPr>
        <w:t>from y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our hard drive. </w:t>
      </w:r>
      <w:r w:rsidR="00147864">
        <w:rPr>
          <w:rFonts w:ascii="Times New Roman" w:eastAsia="MS Mincho" w:hAnsi="Times New Roman" w:cs="Times New Roman"/>
          <w:sz w:val="24"/>
          <w:szCs w:val="24"/>
        </w:rPr>
        <w:t>U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se </w:t>
      </w:r>
      <w:r w:rsidR="008233FC" w:rsidRPr="004B1BD2">
        <w:rPr>
          <w:rFonts w:ascii="Times New Roman" w:eastAsia="MS Mincho" w:hAnsi="Times New Roman" w:cs="Times New Roman"/>
          <w:b/>
          <w:bCs/>
          <w:sz w:val="24"/>
          <w:szCs w:val="24"/>
        </w:rPr>
        <w:t>Windows Explorer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>, click on the f</w:t>
      </w:r>
      <w:r w:rsidR="00147864">
        <w:rPr>
          <w:rFonts w:ascii="Times New Roman" w:eastAsia="MS Mincho" w:hAnsi="Times New Roman" w:cs="Times New Roman"/>
          <w:sz w:val="24"/>
          <w:szCs w:val="24"/>
        </w:rPr>
        <w:t>older</w:t>
      </w:r>
      <w:r w:rsidR="0057298E">
        <w:rPr>
          <w:rFonts w:ascii="Times New Roman" w:eastAsia="MS Mincho" w:hAnsi="Times New Roman" w:cs="Times New Roman"/>
          <w:sz w:val="24"/>
          <w:szCs w:val="24"/>
        </w:rPr>
        <w:t xml:space="preserve"> and the </w:t>
      </w:r>
      <w:r w:rsidR="00147864">
        <w:rPr>
          <w:rFonts w:ascii="Times New Roman" w:eastAsia="MS Mincho" w:hAnsi="Times New Roman" w:cs="Times New Roman"/>
          <w:sz w:val="24"/>
          <w:szCs w:val="24"/>
        </w:rPr>
        <w:t>folder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 will </w:t>
      </w:r>
      <w:r w:rsidR="00147864">
        <w:rPr>
          <w:rFonts w:ascii="Times New Roman" w:eastAsia="MS Mincho" w:hAnsi="Times New Roman" w:cs="Times New Roman"/>
          <w:sz w:val="24"/>
          <w:szCs w:val="24"/>
        </w:rPr>
        <w:t>open.</w:t>
      </w:r>
      <w:r w:rsidR="0034713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16ED">
        <w:rPr>
          <w:rFonts w:ascii="Times New Roman" w:eastAsia="MS Mincho" w:hAnsi="Times New Roman" w:cs="Times New Roman"/>
          <w:sz w:val="24"/>
          <w:szCs w:val="24"/>
        </w:rPr>
        <w:t>Note that t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here is a </w:t>
      </w:r>
      <w:r w:rsidR="00CE16ED">
        <w:rPr>
          <w:rFonts w:ascii="Times New Roman" w:eastAsia="MS Mincho" w:hAnsi="Times New Roman" w:cs="Times New Roman"/>
          <w:sz w:val="24"/>
          <w:szCs w:val="24"/>
        </w:rPr>
        <w:t>substantial</w:t>
      </w:r>
      <w:r w:rsidR="008233FC" w:rsidRPr="004B1BD2">
        <w:rPr>
          <w:rFonts w:ascii="Times New Roman" w:eastAsia="MS Mincho" w:hAnsi="Times New Roman" w:cs="Times New Roman"/>
          <w:sz w:val="24"/>
          <w:szCs w:val="24"/>
        </w:rPr>
        <w:t xml:space="preserve"> difference between the compressed and uncompressed file size. </w:t>
      </w:r>
    </w:p>
    <w:p w14:paraId="14E6934E" w14:textId="77777777" w:rsidR="00C15106" w:rsidRPr="00C15106" w:rsidRDefault="00C15106" w:rsidP="008233FC">
      <w:pPr>
        <w:pStyle w:val="PlainText"/>
        <w:rPr>
          <w:rFonts w:ascii="Times New Roman" w:eastAsia="MS Mincho" w:hAnsi="Times New Roman" w:cs="Times New Roman"/>
          <w:sz w:val="10"/>
          <w:szCs w:val="10"/>
          <w:u w:val="single"/>
        </w:rPr>
      </w:pPr>
    </w:p>
    <w:p w14:paraId="6CADC650" w14:textId="77777777" w:rsidR="00FD4225" w:rsidRDefault="00F916BA" w:rsidP="008233FC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br w:type="page"/>
      </w:r>
    </w:p>
    <w:p w14:paraId="619DE6FE" w14:textId="03DD00B7" w:rsidR="007445BA" w:rsidRDefault="00CE16ED" w:rsidP="008233FC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lastRenderedPageBreak/>
        <w:t>Other files available via our website</w:t>
      </w:r>
      <w:r w:rsidR="0026060D" w:rsidRPr="00082AAF">
        <w:rPr>
          <w:rFonts w:ascii="Times New Roman" w:eastAsia="MS Mincho" w:hAnsi="Times New Roman" w:cs="Times New Roman"/>
          <w:sz w:val="24"/>
          <w:szCs w:val="24"/>
          <w:u w:val="single"/>
        </w:rPr>
        <w:t>:</w:t>
      </w:r>
    </w:p>
    <w:p w14:paraId="5CF097AF" w14:textId="77777777" w:rsidR="00C42B4A" w:rsidRPr="00082AAF" w:rsidRDefault="00C42B4A" w:rsidP="008233FC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14:paraId="01B388E7" w14:textId="133BE781" w:rsidR="0026060D" w:rsidRPr="00C42B4A" w:rsidRDefault="00CE16ED" w:rsidP="008233FC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hyperlink r:id="rId5" w:history="1">
        <w:r w:rsidR="0026060D" w:rsidRPr="00C42B4A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</w:rPr>
          <w:t>Standard Report</w:t>
        </w:r>
        <w:r w:rsidRPr="00C42B4A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</w:rPr>
          <w:t>s</w:t>
        </w:r>
      </w:hyperlink>
    </w:p>
    <w:p w14:paraId="57AAEC27" w14:textId="64B2BB0D" w:rsidR="00F2224C" w:rsidRDefault="00C43ED0" w:rsidP="0026060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</w:t>
      </w:r>
      <w:r w:rsidR="0026060D" w:rsidRPr="0026060D">
        <w:rPr>
          <w:rFonts w:ascii="Times New Roman" w:eastAsia="MS Mincho" w:hAnsi="Times New Roman" w:cs="Times New Roman"/>
          <w:sz w:val="24"/>
          <w:szCs w:val="24"/>
        </w:rPr>
        <w:t>ospitalCensusandCharges.xls</w:t>
      </w:r>
      <w:r w:rsidR="00C42B4A">
        <w:rPr>
          <w:rFonts w:ascii="Times New Roman" w:eastAsia="MS Mincho" w:hAnsi="Times New Roman" w:cs="Times New Roman"/>
          <w:sz w:val="24"/>
          <w:szCs w:val="24"/>
        </w:rPr>
        <w:t>x</w:t>
      </w:r>
    </w:p>
    <w:p w14:paraId="53328097" w14:textId="37BECFDE" w:rsidR="001054DC" w:rsidRDefault="00C43ED0" w:rsidP="001054D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</w:t>
      </w:r>
      <w:r w:rsidR="001054DC" w:rsidRPr="0026060D">
        <w:rPr>
          <w:rFonts w:ascii="Times New Roman" w:eastAsia="MS Mincho" w:hAnsi="Times New Roman" w:cs="Times New Roman"/>
          <w:sz w:val="24"/>
          <w:szCs w:val="24"/>
        </w:rPr>
        <w:t>ospitalCensusandCharges</w:t>
      </w:r>
      <w:r w:rsidR="001054DC">
        <w:rPr>
          <w:rFonts w:ascii="Times New Roman" w:eastAsia="MS Mincho" w:hAnsi="Times New Roman" w:cs="Times New Roman"/>
          <w:sz w:val="24"/>
          <w:szCs w:val="24"/>
        </w:rPr>
        <w:t>byPayer</w:t>
      </w:r>
      <w:r w:rsidR="001054DC" w:rsidRPr="0026060D">
        <w:rPr>
          <w:rFonts w:ascii="Times New Roman" w:eastAsia="MS Mincho" w:hAnsi="Times New Roman" w:cs="Times New Roman"/>
          <w:sz w:val="24"/>
          <w:szCs w:val="24"/>
        </w:rPr>
        <w:t>.xls</w:t>
      </w:r>
      <w:r w:rsidR="00C42B4A">
        <w:rPr>
          <w:rFonts w:ascii="Times New Roman" w:eastAsia="MS Mincho" w:hAnsi="Times New Roman" w:cs="Times New Roman"/>
          <w:sz w:val="24"/>
          <w:szCs w:val="24"/>
        </w:rPr>
        <w:t>x</w:t>
      </w:r>
    </w:p>
    <w:p w14:paraId="537BF453" w14:textId="28461F23" w:rsidR="00E46837" w:rsidRDefault="00E46837" w:rsidP="00E4683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</w:t>
      </w:r>
      <w:r w:rsidRPr="0026060D">
        <w:rPr>
          <w:rFonts w:ascii="Times New Roman" w:eastAsia="MS Mincho" w:hAnsi="Times New Roman" w:cs="Times New Roman"/>
          <w:sz w:val="24"/>
          <w:szCs w:val="24"/>
        </w:rPr>
        <w:t>ospitalCensusandCharges</w:t>
      </w:r>
      <w:r>
        <w:rPr>
          <w:rFonts w:ascii="Times New Roman" w:eastAsia="MS Mincho" w:hAnsi="Times New Roman" w:cs="Times New Roman"/>
          <w:sz w:val="24"/>
          <w:szCs w:val="24"/>
        </w:rPr>
        <w:t>byDRG</w:t>
      </w:r>
      <w:r w:rsidRPr="0026060D">
        <w:rPr>
          <w:rFonts w:ascii="Times New Roman" w:eastAsia="MS Mincho" w:hAnsi="Times New Roman" w:cs="Times New Roman"/>
          <w:sz w:val="24"/>
          <w:szCs w:val="24"/>
        </w:rPr>
        <w:t>.</w:t>
      </w:r>
      <w:r w:rsidR="00CE16ED">
        <w:rPr>
          <w:rFonts w:ascii="Times New Roman" w:eastAsia="MS Mincho" w:hAnsi="Times New Roman" w:cs="Times New Roman"/>
          <w:sz w:val="24"/>
          <w:szCs w:val="24"/>
        </w:rPr>
        <w:t>csv</w:t>
      </w:r>
    </w:p>
    <w:p w14:paraId="40C146CC" w14:textId="53E3C96A" w:rsidR="00C42B4A" w:rsidRDefault="00C42B4A" w:rsidP="00C42B4A">
      <w:pPr>
        <w:pStyle w:val="PlainText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C42B4A">
        <w:rPr>
          <w:rFonts w:ascii="Times New Roman" w:eastAsia="MS Mincho" w:hAnsi="Times New Roman" w:cs="Times New Roman"/>
          <w:sz w:val="24"/>
          <w:szCs w:val="24"/>
        </w:rPr>
        <w:t>*Note: 2013-2021 files use the MS-DRG grouping structure. Files from 2022 forward use the APR-DRG grouping structure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558FB54" w14:textId="2E3951F0" w:rsidR="00E46837" w:rsidRDefault="00E46837" w:rsidP="00E4683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</w:t>
      </w:r>
      <w:r w:rsidRPr="0026060D">
        <w:rPr>
          <w:rFonts w:ascii="Times New Roman" w:eastAsia="MS Mincho" w:hAnsi="Times New Roman" w:cs="Times New Roman"/>
          <w:sz w:val="24"/>
          <w:szCs w:val="24"/>
        </w:rPr>
        <w:t>ospitalCensusandCharges</w:t>
      </w:r>
      <w:r>
        <w:rPr>
          <w:rFonts w:ascii="Times New Roman" w:eastAsia="MS Mincho" w:hAnsi="Times New Roman" w:cs="Times New Roman"/>
          <w:sz w:val="24"/>
          <w:szCs w:val="24"/>
        </w:rPr>
        <w:t>byPatientZipCode</w:t>
      </w:r>
      <w:r w:rsidRPr="0026060D">
        <w:rPr>
          <w:rFonts w:ascii="Times New Roman" w:eastAsia="MS Mincho" w:hAnsi="Times New Roman" w:cs="Times New Roman"/>
          <w:sz w:val="24"/>
          <w:szCs w:val="24"/>
        </w:rPr>
        <w:t>.xls</w:t>
      </w:r>
      <w:r w:rsidR="00C42B4A">
        <w:rPr>
          <w:rFonts w:ascii="Times New Roman" w:eastAsia="MS Mincho" w:hAnsi="Times New Roman" w:cs="Times New Roman"/>
          <w:sz w:val="24"/>
          <w:szCs w:val="24"/>
        </w:rPr>
        <w:t>x</w:t>
      </w:r>
    </w:p>
    <w:p w14:paraId="51AEA3ED" w14:textId="77777777" w:rsidR="00F2224C" w:rsidRPr="003B5614" w:rsidRDefault="00F2224C" w:rsidP="0026060D">
      <w:pPr>
        <w:pStyle w:val="PlainText"/>
        <w:rPr>
          <w:rFonts w:ascii="Times New Roman" w:eastAsia="MS Mincho" w:hAnsi="Times New Roman" w:cs="Times New Roman"/>
          <w:sz w:val="10"/>
          <w:szCs w:val="10"/>
        </w:rPr>
      </w:pPr>
    </w:p>
    <w:p w14:paraId="129FC32B" w14:textId="77777777" w:rsidR="00C42B4A" w:rsidRDefault="00C42B4A" w:rsidP="008233FC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38BC096" w14:textId="25911C43" w:rsidR="00C42B4A" w:rsidRPr="00C42B4A" w:rsidRDefault="00C42B4A" w:rsidP="008233FC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hyperlink r:id="rId6" w:history="1">
        <w:r w:rsidRPr="00C42B4A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</w:rPr>
          <w:t>CHARS Public Use Files</w:t>
        </w:r>
      </w:hyperlink>
    </w:p>
    <w:p w14:paraId="2A5E89EA" w14:textId="77777777" w:rsidR="00C42B4A" w:rsidRDefault="00C42B4A" w:rsidP="008233FC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63A0497" w14:textId="5E6801AC" w:rsidR="00C42B4A" w:rsidRPr="00C42B4A" w:rsidRDefault="00C42B4A" w:rsidP="008233FC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hyperlink r:id="rId7" w:history="1">
        <w:r w:rsidRPr="00C42B4A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</w:rPr>
          <w:t>CHARS Limited Files Data Dictionary</w:t>
        </w:r>
      </w:hyperlink>
    </w:p>
    <w:p w14:paraId="6EDB905B" w14:textId="6CC59368" w:rsidR="007365E6" w:rsidRDefault="00AB301C" w:rsidP="00C42B4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AB301C">
        <w:rPr>
          <w:rFonts w:ascii="Times New Roman" w:eastAsia="MS Mincho" w:hAnsi="Times New Roman" w:cs="Times New Roman"/>
          <w:sz w:val="24"/>
          <w:szCs w:val="24"/>
        </w:rPr>
        <w:t>Dictionary-CHARS</w:t>
      </w:r>
      <w:r w:rsidR="00354848">
        <w:rPr>
          <w:rFonts w:ascii="Times New Roman" w:eastAsia="MS Mincho" w:hAnsi="Times New Roman" w:cs="Times New Roman"/>
          <w:sz w:val="24"/>
          <w:szCs w:val="24"/>
        </w:rPr>
        <w:t>-Limited</w:t>
      </w:r>
      <w:r>
        <w:rPr>
          <w:rFonts w:ascii="Times New Roman" w:eastAsia="MS Mincho" w:hAnsi="Times New Roman" w:cs="Times New Roman"/>
          <w:sz w:val="24"/>
          <w:szCs w:val="24"/>
        </w:rPr>
        <w:t>.xls</w:t>
      </w:r>
      <w:r w:rsidR="00C42B4A">
        <w:rPr>
          <w:rFonts w:ascii="Times New Roman" w:eastAsia="MS Mincho" w:hAnsi="Times New Roman" w:cs="Times New Roman"/>
          <w:sz w:val="24"/>
          <w:szCs w:val="24"/>
        </w:rPr>
        <w:t>x</w:t>
      </w:r>
    </w:p>
    <w:p w14:paraId="20FBC818" w14:textId="77777777" w:rsidR="00C42B4A" w:rsidRDefault="00C42B4A" w:rsidP="00C42B4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7B865607" w14:textId="1E0936FC" w:rsidR="00C42B4A" w:rsidRPr="00C42B4A" w:rsidRDefault="00C42B4A" w:rsidP="00C42B4A">
      <w:pPr>
        <w:pStyle w:val="NormalWeb"/>
        <w:rPr>
          <w:color w:val="000000"/>
        </w:rPr>
      </w:pPr>
      <w:r>
        <w:rPr>
          <w:color w:val="000000"/>
        </w:rPr>
        <w:t>To request CHARS data, t</w:t>
      </w:r>
      <w:r w:rsidRPr="00C42B4A">
        <w:rPr>
          <w:color w:val="000000"/>
        </w:rPr>
        <w:t>he online data ordering form is available on our </w:t>
      </w:r>
      <w:hyperlink r:id="rId8" w:tgtFrame="_blank" w:tooltip="Vital Statistics Data Home" w:history="1">
        <w:r w:rsidRPr="00C42B4A">
          <w:rPr>
            <w:rStyle w:val="Hyperlink"/>
          </w:rPr>
          <w:t>website</w:t>
        </w:r>
      </w:hyperlink>
      <w:r w:rsidRPr="00C42B4A">
        <w:rPr>
          <w:color w:val="000000"/>
        </w:rPr>
        <w:t>. This features a credit card by phone option for payment through VitalChek.</w:t>
      </w:r>
    </w:p>
    <w:p w14:paraId="770A9C95" w14:textId="77777777" w:rsidR="00C42B4A" w:rsidRPr="00C42B4A" w:rsidRDefault="00C42B4A" w:rsidP="00C42B4A">
      <w:pPr>
        <w:pStyle w:val="NormalWeb"/>
        <w:rPr>
          <w:color w:val="000000"/>
        </w:rPr>
      </w:pPr>
      <w:r w:rsidRPr="00C42B4A">
        <w:rPr>
          <w:color w:val="000000"/>
        </w:rPr>
        <w:t>General inquiries about ordering data send email to: </w:t>
      </w:r>
      <w:hyperlink r:id="rId9" w:history="1">
        <w:r w:rsidRPr="00C42B4A">
          <w:rPr>
            <w:rStyle w:val="Hyperlink"/>
          </w:rPr>
          <w:t>CHS.DataRequests@DOH.WA.GOV</w:t>
        </w:r>
      </w:hyperlink>
    </w:p>
    <w:p w14:paraId="6B9F54A2" w14:textId="5B7C8132" w:rsidR="00C42B4A" w:rsidRPr="00C42B4A" w:rsidRDefault="00C42B4A" w:rsidP="00C42B4A">
      <w:pPr>
        <w:pStyle w:val="NormalWeb"/>
        <w:rPr>
          <w:color w:val="000000"/>
        </w:rPr>
      </w:pPr>
      <w:r w:rsidRPr="00C42B4A">
        <w:rPr>
          <w:color w:val="000000"/>
        </w:rPr>
        <w:t xml:space="preserve">For </w:t>
      </w:r>
      <w:r>
        <w:rPr>
          <w:color w:val="000000"/>
        </w:rPr>
        <w:t xml:space="preserve">other </w:t>
      </w:r>
      <w:r w:rsidRPr="00C42B4A">
        <w:rPr>
          <w:color w:val="000000"/>
        </w:rPr>
        <w:t>CHARS questions</w:t>
      </w:r>
      <w:r>
        <w:rPr>
          <w:color w:val="000000"/>
        </w:rPr>
        <w:t xml:space="preserve">, </w:t>
      </w:r>
      <w:r w:rsidRPr="00C42B4A">
        <w:rPr>
          <w:color w:val="000000"/>
        </w:rPr>
        <w:t>please email </w:t>
      </w:r>
      <w:hyperlink r:id="rId10" w:history="1">
        <w:r w:rsidRPr="00C42B4A">
          <w:rPr>
            <w:rStyle w:val="Hyperlink"/>
          </w:rPr>
          <w:t>danielle.legeai@doh.wa.gov</w:t>
        </w:r>
      </w:hyperlink>
      <w:r w:rsidRPr="00C42B4A">
        <w:rPr>
          <w:color w:val="000000"/>
        </w:rPr>
        <w:t>.</w:t>
      </w:r>
    </w:p>
    <w:p w14:paraId="4AF2F1B0" w14:textId="77777777" w:rsidR="00C42B4A" w:rsidRPr="00C42B4A" w:rsidRDefault="00C42B4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sectPr w:rsidR="00C42B4A" w:rsidRPr="00C42B4A" w:rsidSect="00AD17C7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30"/>
    <w:rsid w:val="00007495"/>
    <w:rsid w:val="00033A38"/>
    <w:rsid w:val="000457AF"/>
    <w:rsid w:val="00050E2D"/>
    <w:rsid w:val="00064A1D"/>
    <w:rsid w:val="00082AAF"/>
    <w:rsid w:val="000C62FC"/>
    <w:rsid w:val="000D2009"/>
    <w:rsid w:val="0010340E"/>
    <w:rsid w:val="001054DC"/>
    <w:rsid w:val="00147864"/>
    <w:rsid w:val="001662B7"/>
    <w:rsid w:val="00183AF9"/>
    <w:rsid w:val="00196FDB"/>
    <w:rsid w:val="001B6B45"/>
    <w:rsid w:val="001E65DF"/>
    <w:rsid w:val="0026060D"/>
    <w:rsid w:val="002B087B"/>
    <w:rsid w:val="002E1E68"/>
    <w:rsid w:val="00314B95"/>
    <w:rsid w:val="0034713B"/>
    <w:rsid w:val="00354848"/>
    <w:rsid w:val="0036031A"/>
    <w:rsid w:val="00377791"/>
    <w:rsid w:val="00377B72"/>
    <w:rsid w:val="003915FD"/>
    <w:rsid w:val="0039735E"/>
    <w:rsid w:val="003B5614"/>
    <w:rsid w:val="003C00D1"/>
    <w:rsid w:val="003E4D73"/>
    <w:rsid w:val="003F67BE"/>
    <w:rsid w:val="00415BC4"/>
    <w:rsid w:val="00445FCB"/>
    <w:rsid w:val="00462591"/>
    <w:rsid w:val="004828B3"/>
    <w:rsid w:val="004B1BD2"/>
    <w:rsid w:val="004C01FA"/>
    <w:rsid w:val="004D08F2"/>
    <w:rsid w:val="00501909"/>
    <w:rsid w:val="00510F34"/>
    <w:rsid w:val="005205F4"/>
    <w:rsid w:val="00567085"/>
    <w:rsid w:val="0057298E"/>
    <w:rsid w:val="0059768B"/>
    <w:rsid w:val="005A1EF1"/>
    <w:rsid w:val="005A6513"/>
    <w:rsid w:val="006025C7"/>
    <w:rsid w:val="00602AA4"/>
    <w:rsid w:val="0063569E"/>
    <w:rsid w:val="006725BC"/>
    <w:rsid w:val="00691967"/>
    <w:rsid w:val="006B1C62"/>
    <w:rsid w:val="006C021E"/>
    <w:rsid w:val="006C2F52"/>
    <w:rsid w:val="00712B03"/>
    <w:rsid w:val="00733EF5"/>
    <w:rsid w:val="007365E6"/>
    <w:rsid w:val="00743890"/>
    <w:rsid w:val="007445BA"/>
    <w:rsid w:val="007F7833"/>
    <w:rsid w:val="008233FC"/>
    <w:rsid w:val="008472BF"/>
    <w:rsid w:val="00861601"/>
    <w:rsid w:val="00871012"/>
    <w:rsid w:val="00872079"/>
    <w:rsid w:val="008D6467"/>
    <w:rsid w:val="00917F0F"/>
    <w:rsid w:val="009300A1"/>
    <w:rsid w:val="009429CD"/>
    <w:rsid w:val="0094789F"/>
    <w:rsid w:val="009A3D3E"/>
    <w:rsid w:val="009C4DC1"/>
    <w:rsid w:val="009D2637"/>
    <w:rsid w:val="009E0E6E"/>
    <w:rsid w:val="00A37862"/>
    <w:rsid w:val="00A74C04"/>
    <w:rsid w:val="00AA0779"/>
    <w:rsid w:val="00AB301C"/>
    <w:rsid w:val="00AD17C7"/>
    <w:rsid w:val="00B051D1"/>
    <w:rsid w:val="00B82AA2"/>
    <w:rsid w:val="00B94DE2"/>
    <w:rsid w:val="00BA3908"/>
    <w:rsid w:val="00BD3C31"/>
    <w:rsid w:val="00BE6BEA"/>
    <w:rsid w:val="00BF6230"/>
    <w:rsid w:val="00C035CF"/>
    <w:rsid w:val="00C15106"/>
    <w:rsid w:val="00C370F0"/>
    <w:rsid w:val="00C42B4A"/>
    <w:rsid w:val="00C43ED0"/>
    <w:rsid w:val="00C55D0C"/>
    <w:rsid w:val="00C70396"/>
    <w:rsid w:val="00C81B6B"/>
    <w:rsid w:val="00C86CD4"/>
    <w:rsid w:val="00C87671"/>
    <w:rsid w:val="00CB2B32"/>
    <w:rsid w:val="00CB3742"/>
    <w:rsid w:val="00CD294D"/>
    <w:rsid w:val="00CE0362"/>
    <w:rsid w:val="00CE16ED"/>
    <w:rsid w:val="00D054CD"/>
    <w:rsid w:val="00D11B3C"/>
    <w:rsid w:val="00D318A1"/>
    <w:rsid w:val="00D33484"/>
    <w:rsid w:val="00D34DDD"/>
    <w:rsid w:val="00D61FED"/>
    <w:rsid w:val="00D624EA"/>
    <w:rsid w:val="00D62E8C"/>
    <w:rsid w:val="00D90644"/>
    <w:rsid w:val="00DA265F"/>
    <w:rsid w:val="00DC1F56"/>
    <w:rsid w:val="00DD34F9"/>
    <w:rsid w:val="00DD3F26"/>
    <w:rsid w:val="00E46837"/>
    <w:rsid w:val="00E7011C"/>
    <w:rsid w:val="00E947B6"/>
    <w:rsid w:val="00EA2769"/>
    <w:rsid w:val="00EA63C4"/>
    <w:rsid w:val="00ED231E"/>
    <w:rsid w:val="00ED268A"/>
    <w:rsid w:val="00F0158B"/>
    <w:rsid w:val="00F2224C"/>
    <w:rsid w:val="00F3231B"/>
    <w:rsid w:val="00F559E6"/>
    <w:rsid w:val="00F6017C"/>
    <w:rsid w:val="00F916BA"/>
    <w:rsid w:val="00FB28BD"/>
    <w:rsid w:val="00FD4225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4D61B"/>
  <w15:docId w15:val="{A9E0B4A4-D95B-40B4-B98E-89740AF5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438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8233FC"/>
    <w:rPr>
      <w:rFonts w:ascii="Courier New" w:hAnsi="Courier New" w:cs="Courier New"/>
      <w:sz w:val="20"/>
    </w:rPr>
  </w:style>
  <w:style w:type="character" w:styleId="FollowedHyperlink">
    <w:name w:val="FollowedHyperlink"/>
    <w:rsid w:val="00AD17C7"/>
    <w:rPr>
      <w:color w:val="800080"/>
      <w:u w:val="single"/>
    </w:rPr>
  </w:style>
  <w:style w:type="table" w:styleId="TableGrid">
    <w:name w:val="Table Grid"/>
    <w:basedOn w:val="TableNormal"/>
    <w:rsid w:val="005019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16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2B4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DataandStatisticalReports/Health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h.wa.gov/data-statistical-reports/health-statistics/data-file-dictionar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h.wa.gov/data-statistical-reports/healthcare-washington/hospital-and-patient-data/hospital-discharge-data-chars/chars-repor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h.wa.gov/data-statistical-reports/healthcare-washington/hospital-and-patient-data/hospital-discharge-data-chars/chars-reports" TargetMode="External"/><Relationship Id="rId10" Type="http://schemas.openxmlformats.org/officeDocument/2006/relationships/hyperlink" Target="mailto:danielle.legeai@doh.wa.gov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HS.DataRequest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Hospital Abstract Reporting System (CHARS)</vt:lpstr>
    </vt:vector>
  </TitlesOfParts>
  <Company>CHS</Company>
  <LinksUpToDate>false</LinksUpToDate>
  <CharactersWithSpaces>2754</CharactersWithSpaces>
  <SharedDoc>false</SharedDoc>
  <HLinks>
    <vt:vector size="18" baseType="variant"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http://www.doh.wa.gov/ehsphl/hospdata/</vt:lpwstr>
      </vt:variant>
      <vt:variant>
        <vt:lpwstr/>
      </vt:variant>
      <vt:variant>
        <vt:i4>4390915</vt:i4>
      </vt:variant>
      <vt:variant>
        <vt:i4>6</vt:i4>
      </vt:variant>
      <vt:variant>
        <vt:i4>0</vt:i4>
      </vt:variant>
      <vt:variant>
        <vt:i4>5</vt:i4>
      </vt:variant>
      <vt:variant>
        <vt:lpwstr>http://www.doh.wa.gov/DataandStatisticalReports/HealthcareinWashington/HospitalandPatientData/HospitalDischargeDataCHARS.aspx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Hospital Abstract Reporting System (CHARS)</dc:title>
  <dc:subject/>
  <dc:creator>WADOH</dc:creator>
  <cp:keywords/>
  <cp:lastModifiedBy>Legeai, Danielle C (DOH)</cp:lastModifiedBy>
  <cp:revision>5</cp:revision>
  <cp:lastPrinted>2004-06-18T19:24:00Z</cp:lastPrinted>
  <dcterms:created xsi:type="dcterms:W3CDTF">2023-07-10T17:51:00Z</dcterms:created>
  <dcterms:modified xsi:type="dcterms:W3CDTF">2023-07-10T18:18:00Z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2023-07-10T17:51:14Z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c93b0f61-10e7-4304-9fc2-b43c0a5a186e</vt:lpwstr>
  </property>
  <property fmtid="{D5CDD505-2E9C-101B-9397-08002B2CF9AE}" pid="8" name="MSIP_Label_1520fa42-cf58-4c22-8b93-58cf1d3bd1cb_ContentBits">
    <vt:lpwstr>0</vt:lpwstr>
  </property>
</Properties>
</file>