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481A0" w14:textId="4F00C741" w:rsidR="00B13A9F" w:rsidRPr="00E549A4" w:rsidRDefault="000B4BB5" w:rsidP="00B13A9F">
      <w:pPr>
        <w:spacing w:after="0" w:line="240" w:lineRule="auto"/>
        <w:jc w:val="center"/>
        <w:rPr>
          <w:rFonts w:ascii="Calibri" w:eastAsia="Times New Roman" w:hAnsi="Calibri" w:cs="Times New Roman"/>
          <w:sz w:val="20"/>
          <w:szCs w:val="20"/>
        </w:rPr>
      </w:pPr>
      <w:r w:rsidRPr="00E549A4">
        <w:rPr>
          <w:noProof/>
          <w:sz w:val="20"/>
          <w:szCs w:val="20"/>
          <w:lang w:val="es"/>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882A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549A4">
        <w:rPr>
          <w:noProof/>
          <w:sz w:val="20"/>
          <w:szCs w:val="20"/>
          <w:lang w:val="es"/>
        </w:rPr>
        <w:drawing>
          <wp:inline distT="0" distB="0" distL="0" distR="0" wp14:anchorId="18247416" wp14:editId="5E087856">
            <wp:extent cx="3037526" cy="893445"/>
            <wp:effectExtent l="0" t="0" r="0" b="1905"/>
            <wp:docPr id="5" name="Picture 5" descr="Primer plano de un 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7364D4B3" w14:textId="17A14285" w:rsidR="00CE712D" w:rsidRPr="00E549A4" w:rsidRDefault="00CE712D" w:rsidP="00B13A9F">
      <w:pPr>
        <w:spacing w:after="0" w:line="240" w:lineRule="auto"/>
        <w:jc w:val="center"/>
        <w:rPr>
          <w:rFonts w:ascii="Calibri" w:eastAsia="Times New Roman" w:hAnsi="Calibri" w:cs="Times New Roman"/>
          <w:sz w:val="20"/>
          <w:szCs w:val="20"/>
        </w:rPr>
      </w:pPr>
    </w:p>
    <w:p w14:paraId="57039179" w14:textId="77777777" w:rsidR="00CE712D" w:rsidRPr="00E549A4" w:rsidRDefault="00CE712D" w:rsidP="00D73E8E">
      <w:pPr>
        <w:spacing w:after="0" w:line="240" w:lineRule="auto"/>
        <w:jc w:val="center"/>
        <w:rPr>
          <w:rFonts w:ascii="Calibri" w:eastAsia="Times New Roman" w:hAnsi="Calibri" w:cs="Times New Roman"/>
          <w:b/>
          <w:bCs/>
          <w:sz w:val="24"/>
          <w:szCs w:val="24"/>
        </w:rPr>
      </w:pPr>
    </w:p>
    <w:p w14:paraId="44A33F69" w14:textId="038BB487" w:rsidR="00D73E8E" w:rsidRPr="00E549A4" w:rsidRDefault="00D73E8E" w:rsidP="00D73E8E">
      <w:pPr>
        <w:spacing w:after="0" w:line="240" w:lineRule="auto"/>
        <w:jc w:val="center"/>
        <w:rPr>
          <w:rFonts w:ascii="Calibri" w:eastAsia="Times New Roman" w:hAnsi="Calibri" w:cs="Times New Roman"/>
          <w:b/>
          <w:bCs/>
          <w:lang w:val="es-ES"/>
        </w:rPr>
      </w:pPr>
      <w:r w:rsidRPr="00E549A4">
        <w:rPr>
          <w:rFonts w:ascii="Calibri" w:eastAsia="Times New Roman" w:hAnsi="Calibri" w:cs="Times New Roman"/>
          <w:b/>
          <w:bCs/>
          <w:lang w:val="es"/>
        </w:rPr>
        <w:t xml:space="preserve">Reunión general del Grupo de Planificación </w:t>
      </w:r>
      <w:proofErr w:type="spellStart"/>
      <w:r w:rsidRPr="00E549A4">
        <w:rPr>
          <w:rFonts w:ascii="Calibri" w:eastAsia="Times New Roman" w:hAnsi="Calibri" w:cs="Times New Roman"/>
          <w:b/>
          <w:bCs/>
          <w:lang w:val="es"/>
        </w:rPr>
        <w:t>Sindémica</w:t>
      </w:r>
      <w:proofErr w:type="spellEnd"/>
      <w:r w:rsidRPr="00E549A4">
        <w:rPr>
          <w:rFonts w:ascii="Calibri" w:eastAsia="Times New Roman" w:hAnsi="Calibri" w:cs="Times New Roman"/>
          <w:b/>
          <w:bCs/>
          <w:lang w:val="es"/>
        </w:rPr>
        <w:t xml:space="preserve"> de Washington</w:t>
      </w:r>
    </w:p>
    <w:p w14:paraId="0E90730B" w14:textId="31BD9664" w:rsidR="00CF41E4" w:rsidRPr="00E549A4" w:rsidRDefault="000B4BB5" w:rsidP="00D73E8E">
      <w:pPr>
        <w:spacing w:after="0" w:line="240" w:lineRule="auto"/>
        <w:jc w:val="center"/>
        <w:rPr>
          <w:rFonts w:ascii="Calibri" w:eastAsia="Times New Roman" w:hAnsi="Calibri" w:cs="Times New Roman"/>
          <w:b/>
          <w:bCs/>
          <w:lang w:val="es-ES"/>
        </w:rPr>
      </w:pPr>
      <w:r w:rsidRPr="00E549A4">
        <w:rPr>
          <w:rFonts w:ascii="Calibri" w:eastAsia="Times New Roman" w:hAnsi="Calibri" w:cs="Times New Roman"/>
          <w:b/>
          <w:bCs/>
          <w:lang w:val="es"/>
        </w:rPr>
        <w:t>Notas o acta</w:t>
      </w:r>
    </w:p>
    <w:p w14:paraId="0EBDAF8B" w14:textId="01246CF6" w:rsidR="00B13A9F" w:rsidRPr="00E549A4" w:rsidRDefault="00775A13" w:rsidP="00B13A9F">
      <w:pPr>
        <w:spacing w:after="0" w:line="240" w:lineRule="auto"/>
        <w:jc w:val="center"/>
        <w:rPr>
          <w:rFonts w:ascii="Calibri" w:eastAsia="Times New Roman" w:hAnsi="Calibri" w:cs="Times New Roman"/>
          <w:lang w:val="es-ES"/>
        </w:rPr>
      </w:pPr>
      <w:r w:rsidRPr="00E549A4">
        <w:rPr>
          <w:rFonts w:ascii="Calibri" w:eastAsia="Times New Roman" w:hAnsi="Calibri" w:cs="Times New Roman"/>
          <w:lang w:val="es"/>
        </w:rPr>
        <w:t>Martes 26 de enero de 2024</w:t>
      </w:r>
    </w:p>
    <w:p w14:paraId="1E0427DD" w14:textId="5CF9B892" w:rsidR="00B13A9F" w:rsidRPr="00E549A4" w:rsidRDefault="00B13A9F" w:rsidP="00B13A9F">
      <w:pPr>
        <w:spacing w:after="0" w:line="240" w:lineRule="auto"/>
        <w:jc w:val="center"/>
        <w:rPr>
          <w:rFonts w:ascii="Calibri" w:eastAsia="Times New Roman" w:hAnsi="Calibri" w:cs="Times New Roman"/>
          <w:lang w:val="es-ES"/>
        </w:rPr>
      </w:pPr>
      <w:r w:rsidRPr="00E549A4">
        <w:rPr>
          <w:rFonts w:ascii="Calibri" w:eastAsia="Times New Roman" w:hAnsi="Calibri" w:cs="Times New Roman"/>
          <w:lang w:val="es"/>
        </w:rPr>
        <w:t xml:space="preserve">Reunión virtual a través de videoconferencia por </w:t>
      </w:r>
      <w:proofErr w:type="gramStart"/>
      <w:r w:rsidRPr="00E549A4">
        <w:rPr>
          <w:rFonts w:ascii="Calibri" w:eastAsia="Times New Roman" w:hAnsi="Calibri" w:cs="Times New Roman"/>
          <w:lang w:val="es"/>
        </w:rPr>
        <w:t>Zoom</w:t>
      </w:r>
      <w:proofErr w:type="gramEnd"/>
      <w:r w:rsidRPr="00E549A4">
        <w:rPr>
          <w:rFonts w:ascii="Calibri" w:eastAsia="Times New Roman" w:hAnsi="Calibri" w:cs="Times New Roman"/>
          <w:lang w:val="es"/>
        </w:rPr>
        <w:t xml:space="preserve"> </w:t>
      </w:r>
    </w:p>
    <w:p w14:paraId="2079FDE3" w14:textId="77777777" w:rsidR="00B13A9F" w:rsidRPr="00E549A4" w:rsidRDefault="00B13A9F" w:rsidP="00B13A9F">
      <w:pPr>
        <w:spacing w:after="0" w:line="240" w:lineRule="auto"/>
        <w:rPr>
          <w:rFonts w:ascii="Calibri" w:eastAsia="Times New Roman" w:hAnsi="Calibri" w:cs="Times New Roman"/>
          <w:b/>
          <w:bCs/>
          <w:sz w:val="24"/>
          <w:szCs w:val="24"/>
          <w:lang w:val="es-ES"/>
        </w:rPr>
      </w:pPr>
    </w:p>
    <w:p w14:paraId="3FD52D57" w14:textId="4ABEE2BB" w:rsidR="00B13A9F" w:rsidRPr="00E549A4" w:rsidRDefault="000B4BB5" w:rsidP="00F00DBB">
      <w:pPr>
        <w:spacing w:after="0" w:line="240" w:lineRule="auto"/>
        <w:rPr>
          <w:rFonts w:ascii="Calibri" w:eastAsia="Times New Roman" w:hAnsi="Calibri" w:cs="Times New Roman"/>
          <w:b/>
          <w:bCs/>
          <w:lang w:val="es-ES"/>
        </w:rPr>
      </w:pPr>
      <w:r w:rsidRPr="00E549A4">
        <w:rPr>
          <w:rFonts w:ascii="Calibri" w:eastAsia="Times New Roman" w:hAnsi="Calibri" w:cs="Times New Roman"/>
          <w:b/>
          <w:bCs/>
          <w:lang w:val="es"/>
        </w:rPr>
        <w:t xml:space="preserve">Asistencia de los integrantes del WSPG (por su sigla en inglés, Grupo de Planificación </w:t>
      </w:r>
      <w:proofErr w:type="spellStart"/>
      <w:r w:rsidRPr="00E549A4">
        <w:rPr>
          <w:rFonts w:ascii="Calibri" w:eastAsia="Times New Roman" w:hAnsi="Calibri" w:cs="Times New Roman"/>
          <w:b/>
          <w:bCs/>
          <w:lang w:val="es"/>
        </w:rPr>
        <w:t>Sindémica</w:t>
      </w:r>
      <w:proofErr w:type="spellEnd"/>
      <w:r w:rsidRPr="00E549A4">
        <w:rPr>
          <w:rFonts w:ascii="Calibri" w:eastAsia="Times New Roman" w:hAnsi="Calibri" w:cs="Times New Roman"/>
          <w:b/>
          <w:bCs/>
          <w:lang w:val="es"/>
        </w:rPr>
        <w:t xml:space="preserve"> de Washington):</w:t>
      </w:r>
    </w:p>
    <w:p w14:paraId="2AED8F57" w14:textId="77777777" w:rsidR="004044A4" w:rsidRPr="00E549A4" w:rsidRDefault="004044A4" w:rsidP="00F00DBB">
      <w:pPr>
        <w:spacing w:after="0" w:line="240" w:lineRule="auto"/>
        <w:rPr>
          <w:rFonts w:ascii="Calibri" w:eastAsia="Times New Roman" w:hAnsi="Calibri" w:cs="Times New Roman"/>
          <w:b/>
          <w:bCs/>
          <w:sz w:val="20"/>
          <w:szCs w:val="2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rsidRPr="00E549A4"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rsidRPr="00E549A4" w14:paraId="1D2A88FA" w14:textId="77777777" w:rsidTr="004044A4">
              <w:tc>
                <w:tcPr>
                  <w:tcW w:w="3847" w:type="dxa"/>
                </w:tcPr>
                <w:p w14:paraId="22D76D9C" w14:textId="5D7E99B2" w:rsidR="004044A4" w:rsidRPr="00E549A4" w:rsidRDefault="004044A4" w:rsidP="00F00DBB">
                  <w:pPr>
                    <w:rPr>
                      <w:rFonts w:ascii="Calibri" w:eastAsia="Times New Roman" w:hAnsi="Calibri" w:cs="Times New Roman"/>
                      <w:b/>
                      <w:bCs/>
                      <w:sz w:val="20"/>
                      <w:szCs w:val="20"/>
                    </w:rPr>
                  </w:pPr>
                  <w:r w:rsidRPr="00E549A4">
                    <w:rPr>
                      <w:rFonts w:ascii="Calibri" w:eastAsia="Times New Roman" w:hAnsi="Calibri" w:cs="Times New Roman"/>
                      <w:b/>
                      <w:bCs/>
                      <w:sz w:val="20"/>
                      <w:szCs w:val="20"/>
                      <w:lang w:val="es"/>
                    </w:rPr>
                    <w:t>Nombre</w:t>
                  </w:r>
                </w:p>
              </w:tc>
              <w:tc>
                <w:tcPr>
                  <w:tcW w:w="1170" w:type="dxa"/>
                </w:tcPr>
                <w:p w14:paraId="3D94C653" w14:textId="476AC0AF" w:rsidR="004044A4" w:rsidRPr="00E549A4" w:rsidRDefault="004044A4" w:rsidP="00F00DBB">
                  <w:pPr>
                    <w:rPr>
                      <w:rFonts w:ascii="Calibri" w:eastAsia="Times New Roman" w:hAnsi="Calibri" w:cs="Times New Roman"/>
                      <w:b/>
                      <w:bCs/>
                      <w:sz w:val="20"/>
                      <w:szCs w:val="20"/>
                    </w:rPr>
                  </w:pPr>
                  <w:r w:rsidRPr="00E549A4">
                    <w:rPr>
                      <w:rFonts w:ascii="Calibri" w:eastAsia="Times New Roman" w:hAnsi="Calibri" w:cs="Times New Roman"/>
                      <w:b/>
                      <w:bCs/>
                      <w:sz w:val="20"/>
                      <w:szCs w:val="20"/>
                      <w:lang w:val="es"/>
                    </w:rPr>
                    <w:t>Presente</w:t>
                  </w:r>
                </w:p>
              </w:tc>
              <w:tc>
                <w:tcPr>
                  <w:tcW w:w="1166" w:type="dxa"/>
                </w:tcPr>
                <w:p w14:paraId="0F893107" w14:textId="5E6670E1" w:rsidR="004044A4" w:rsidRPr="00E549A4" w:rsidRDefault="004044A4" w:rsidP="00F00DBB">
                  <w:pPr>
                    <w:rPr>
                      <w:rFonts w:ascii="Calibri" w:eastAsia="Times New Roman" w:hAnsi="Calibri" w:cs="Times New Roman"/>
                      <w:b/>
                      <w:bCs/>
                      <w:sz w:val="20"/>
                      <w:szCs w:val="20"/>
                    </w:rPr>
                  </w:pPr>
                  <w:r w:rsidRPr="00E549A4">
                    <w:rPr>
                      <w:rFonts w:ascii="Calibri" w:eastAsia="Times New Roman" w:hAnsi="Calibri" w:cs="Times New Roman"/>
                      <w:b/>
                      <w:bCs/>
                      <w:sz w:val="20"/>
                      <w:szCs w:val="20"/>
                      <w:lang w:val="es"/>
                    </w:rPr>
                    <w:t>Ausente</w:t>
                  </w:r>
                </w:p>
              </w:tc>
            </w:tr>
            <w:tr w:rsidR="000571F2" w:rsidRPr="00E549A4" w14:paraId="440104DB" w14:textId="77777777" w:rsidTr="004044A4">
              <w:tc>
                <w:tcPr>
                  <w:tcW w:w="3847" w:type="dxa"/>
                </w:tcPr>
                <w:p w14:paraId="03D5917A" w14:textId="7E681201" w:rsidR="000571F2" w:rsidRPr="00E549A4" w:rsidRDefault="000571F2" w:rsidP="000571F2">
                  <w:pPr>
                    <w:rPr>
                      <w:rFonts w:ascii="Calibri" w:eastAsia="Times New Roman" w:hAnsi="Calibri" w:cs="Times New Roman"/>
                      <w:sz w:val="20"/>
                      <w:szCs w:val="20"/>
                    </w:rPr>
                  </w:pPr>
                  <w:r w:rsidRPr="00E549A4">
                    <w:rPr>
                      <w:b/>
                      <w:bCs/>
                      <w:szCs w:val="20"/>
                      <w:lang w:val="es"/>
                    </w:rPr>
                    <w:t xml:space="preserve">Amy </w:t>
                  </w:r>
                  <w:proofErr w:type="spellStart"/>
                  <w:r w:rsidRPr="00E549A4">
                    <w:rPr>
                      <w:b/>
                      <w:bCs/>
                      <w:szCs w:val="20"/>
                      <w:lang w:val="es"/>
                    </w:rPr>
                    <w:t>Hernandez</w:t>
                  </w:r>
                  <w:proofErr w:type="spellEnd"/>
                </w:p>
              </w:tc>
              <w:tc>
                <w:tcPr>
                  <w:tcW w:w="1170" w:type="dxa"/>
                </w:tcPr>
                <w:p w14:paraId="333AA0B4" w14:textId="4ED61FB9"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1876994372"/>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c>
                <w:tcPr>
                  <w:tcW w:w="1166" w:type="dxa"/>
                </w:tcPr>
                <w:p w14:paraId="6B33F9BF" w14:textId="062C9C82" w:rsidR="000571F2" w:rsidRPr="00E549A4" w:rsidRDefault="00116F3D" w:rsidP="000571F2">
                  <w:pPr>
                    <w:rPr>
                      <w:rFonts w:ascii="Calibri" w:eastAsia="Times New Roman" w:hAnsi="Calibri" w:cs="Times New Roman"/>
                      <w:sz w:val="20"/>
                      <w:szCs w:val="20"/>
                    </w:rPr>
                  </w:pPr>
                  <w:sdt>
                    <w:sdtPr>
                      <w:id w:val="271369047"/>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r>
            <w:tr w:rsidR="000571F2" w:rsidRPr="00E549A4" w14:paraId="2E3A83B1" w14:textId="77777777" w:rsidTr="004044A4">
              <w:tc>
                <w:tcPr>
                  <w:tcW w:w="3847" w:type="dxa"/>
                </w:tcPr>
                <w:p w14:paraId="762411C2" w14:textId="66E66CE7" w:rsidR="000571F2" w:rsidRPr="00E549A4" w:rsidRDefault="000571F2" w:rsidP="000571F2">
                  <w:pPr>
                    <w:rPr>
                      <w:rFonts w:ascii="Calibri" w:eastAsia="Times New Roman" w:hAnsi="Calibri" w:cs="Times New Roman"/>
                      <w:sz w:val="20"/>
                      <w:szCs w:val="20"/>
                    </w:rPr>
                  </w:pPr>
                  <w:r w:rsidRPr="00E549A4">
                    <w:rPr>
                      <w:b/>
                      <w:bCs/>
                      <w:szCs w:val="20"/>
                      <w:lang w:val="es"/>
                    </w:rPr>
                    <w:t>Ann Mumford</w:t>
                  </w:r>
                </w:p>
              </w:tc>
              <w:tc>
                <w:tcPr>
                  <w:tcW w:w="1170" w:type="dxa"/>
                </w:tcPr>
                <w:p w14:paraId="60CA3543" w14:textId="078BE0C4"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840779941"/>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c>
                <w:tcPr>
                  <w:tcW w:w="1166" w:type="dxa"/>
                </w:tcPr>
                <w:p w14:paraId="486A39DC" w14:textId="6BA4FD1E" w:rsidR="000571F2" w:rsidRPr="00E549A4" w:rsidRDefault="00116F3D" w:rsidP="000571F2">
                  <w:pPr>
                    <w:rPr>
                      <w:rFonts w:ascii="Calibri" w:eastAsia="Times New Roman" w:hAnsi="Calibri" w:cs="Times New Roman"/>
                      <w:sz w:val="20"/>
                      <w:szCs w:val="20"/>
                    </w:rPr>
                  </w:pPr>
                  <w:sdt>
                    <w:sdtPr>
                      <w:id w:val="-1832895584"/>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r>
            <w:tr w:rsidR="000571F2" w:rsidRPr="00E549A4" w14:paraId="5C724AC4" w14:textId="77777777" w:rsidTr="004044A4">
              <w:tc>
                <w:tcPr>
                  <w:tcW w:w="3847" w:type="dxa"/>
                </w:tcPr>
                <w:p w14:paraId="15DADDD1" w14:textId="0556D888" w:rsidR="000571F2" w:rsidRPr="00E549A4" w:rsidRDefault="000571F2" w:rsidP="000571F2">
                  <w:pPr>
                    <w:rPr>
                      <w:rFonts w:ascii="Calibri" w:eastAsia="Times New Roman" w:hAnsi="Calibri" w:cs="Times New Roman"/>
                      <w:sz w:val="20"/>
                      <w:szCs w:val="20"/>
                    </w:rPr>
                  </w:pPr>
                  <w:proofErr w:type="spellStart"/>
                  <w:r w:rsidRPr="00E549A4">
                    <w:rPr>
                      <w:b/>
                      <w:bCs/>
                      <w:szCs w:val="20"/>
                      <w:lang w:val="es"/>
                    </w:rPr>
                    <w:t>Brigette</w:t>
                  </w:r>
                  <w:proofErr w:type="spellEnd"/>
                  <w:r w:rsidRPr="00E549A4">
                    <w:rPr>
                      <w:b/>
                      <w:bCs/>
                      <w:szCs w:val="20"/>
                      <w:lang w:val="es"/>
                    </w:rPr>
                    <w:t xml:space="preserve"> Young</w:t>
                  </w:r>
                </w:p>
              </w:tc>
              <w:tc>
                <w:tcPr>
                  <w:tcW w:w="1170" w:type="dxa"/>
                </w:tcPr>
                <w:p w14:paraId="087C5D77" w14:textId="4702A9B6" w:rsidR="000571F2" w:rsidRPr="00E549A4" w:rsidRDefault="00116F3D" w:rsidP="000571F2">
                  <w:pPr>
                    <w:rPr>
                      <w:rFonts w:ascii="Calibri" w:eastAsia="Times New Roman" w:hAnsi="Calibri" w:cs="Times New Roman"/>
                      <w:sz w:val="20"/>
                      <w:szCs w:val="20"/>
                    </w:rPr>
                  </w:pPr>
                  <w:sdt>
                    <w:sdtPr>
                      <w:id w:val="684715692"/>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261A5D19" w14:textId="5E78CF65"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1272542852"/>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0571F2" w:rsidRPr="00E549A4" w14:paraId="72783F6C" w14:textId="77777777" w:rsidTr="004044A4">
              <w:tc>
                <w:tcPr>
                  <w:tcW w:w="3847" w:type="dxa"/>
                </w:tcPr>
                <w:p w14:paraId="27AB345F" w14:textId="530F6B96" w:rsidR="000571F2" w:rsidRPr="00E549A4" w:rsidRDefault="000571F2" w:rsidP="000571F2">
                  <w:pPr>
                    <w:rPr>
                      <w:rFonts w:ascii="Calibri" w:eastAsia="Times New Roman" w:hAnsi="Calibri" w:cs="Times New Roman"/>
                      <w:sz w:val="20"/>
                      <w:szCs w:val="20"/>
                    </w:rPr>
                  </w:pPr>
                  <w:r w:rsidRPr="00E549A4">
                    <w:rPr>
                      <w:b/>
                      <w:bCs/>
                      <w:szCs w:val="20"/>
                      <w:lang w:val="es"/>
                    </w:rPr>
                    <w:t>Christina Jackson</w:t>
                  </w:r>
                </w:p>
              </w:tc>
              <w:tc>
                <w:tcPr>
                  <w:tcW w:w="1170" w:type="dxa"/>
                </w:tcPr>
                <w:p w14:paraId="6E04DAF4" w14:textId="6AAC502D"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1610941851"/>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c>
                <w:tcPr>
                  <w:tcW w:w="1166" w:type="dxa"/>
                </w:tcPr>
                <w:p w14:paraId="4B50B68E" w14:textId="1C7A6326" w:rsidR="000571F2" w:rsidRPr="00E549A4" w:rsidRDefault="00116F3D" w:rsidP="000571F2">
                  <w:pPr>
                    <w:rPr>
                      <w:rFonts w:ascii="Calibri" w:eastAsia="Times New Roman" w:hAnsi="Calibri" w:cs="Times New Roman"/>
                      <w:sz w:val="20"/>
                      <w:szCs w:val="20"/>
                    </w:rPr>
                  </w:pPr>
                  <w:sdt>
                    <w:sdtPr>
                      <w:id w:val="-1217276286"/>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r>
            <w:tr w:rsidR="000571F2" w:rsidRPr="00E549A4" w14:paraId="2EB1C59E" w14:textId="77777777" w:rsidTr="004044A4">
              <w:tc>
                <w:tcPr>
                  <w:tcW w:w="3847" w:type="dxa"/>
                </w:tcPr>
                <w:p w14:paraId="0A260A46" w14:textId="6FF968F9" w:rsidR="000571F2" w:rsidRPr="00E549A4" w:rsidRDefault="00CD50AF" w:rsidP="000571F2">
                  <w:pPr>
                    <w:rPr>
                      <w:rFonts w:ascii="Calibri" w:eastAsia="Times New Roman" w:hAnsi="Calibri" w:cs="Times New Roman"/>
                      <w:sz w:val="20"/>
                      <w:szCs w:val="20"/>
                    </w:rPr>
                  </w:pPr>
                  <w:r w:rsidRPr="00E549A4">
                    <w:rPr>
                      <w:b/>
                      <w:bCs/>
                      <w:szCs w:val="20"/>
                      <w:lang w:val="es"/>
                    </w:rPr>
                    <w:t>Ernest Walker</w:t>
                  </w:r>
                </w:p>
              </w:tc>
              <w:tc>
                <w:tcPr>
                  <w:tcW w:w="1170" w:type="dxa"/>
                </w:tcPr>
                <w:p w14:paraId="7064D29A" w14:textId="144A7239" w:rsidR="000571F2" w:rsidRPr="00E549A4" w:rsidRDefault="00116F3D" w:rsidP="000571F2">
                  <w:pPr>
                    <w:rPr>
                      <w:rFonts w:ascii="Calibri" w:eastAsia="Times New Roman" w:hAnsi="Calibri" w:cs="Times New Roman"/>
                      <w:sz w:val="20"/>
                      <w:szCs w:val="20"/>
                    </w:rPr>
                  </w:pPr>
                  <w:sdt>
                    <w:sdtPr>
                      <w:id w:val="1618642737"/>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66F06078" w14:textId="0C68FB91"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1198850737"/>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BC51F5" w:rsidRPr="00E549A4" w14:paraId="2481AEE5" w14:textId="77777777" w:rsidTr="004044A4">
              <w:tc>
                <w:tcPr>
                  <w:tcW w:w="3847" w:type="dxa"/>
                </w:tcPr>
                <w:p w14:paraId="74F7190F" w14:textId="4203A620" w:rsidR="00BC51F5" w:rsidRPr="00E549A4" w:rsidRDefault="00BC51F5" w:rsidP="00BC51F5">
                  <w:pPr>
                    <w:rPr>
                      <w:rFonts w:ascii="Calibri" w:eastAsia="Times New Roman" w:hAnsi="Calibri" w:cs="Times New Roman"/>
                      <w:sz w:val="20"/>
                      <w:szCs w:val="20"/>
                    </w:rPr>
                  </w:pPr>
                  <w:r w:rsidRPr="00E549A4">
                    <w:rPr>
                      <w:b/>
                      <w:bCs/>
                      <w:szCs w:val="20"/>
                      <w:lang w:val="es"/>
                    </w:rPr>
                    <w:t>Howard Russell</w:t>
                  </w:r>
                </w:p>
              </w:tc>
              <w:tc>
                <w:tcPr>
                  <w:tcW w:w="1170" w:type="dxa"/>
                </w:tcPr>
                <w:p w14:paraId="46894C69" w14:textId="2CD29C74" w:rsidR="00BC51F5" w:rsidRPr="00E549A4" w:rsidRDefault="00116F3D" w:rsidP="00BC51F5">
                  <w:pPr>
                    <w:rPr>
                      <w:rFonts w:ascii="Calibri" w:eastAsia="Times New Roman" w:hAnsi="Calibri" w:cs="Times New Roman"/>
                      <w:sz w:val="20"/>
                      <w:szCs w:val="20"/>
                    </w:rPr>
                  </w:pPr>
                  <w:sdt>
                    <w:sdtPr>
                      <w:id w:val="-2007587585"/>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1C452AA5" w14:textId="7EDF19FB" w:rsidR="00BC51F5" w:rsidRPr="00E549A4" w:rsidRDefault="00116F3D" w:rsidP="00BC51F5">
                  <w:pPr>
                    <w:rPr>
                      <w:rFonts w:ascii="Calibri" w:eastAsia="Times New Roman" w:hAnsi="Calibri" w:cs="Times New Roman"/>
                      <w:sz w:val="20"/>
                      <w:szCs w:val="20"/>
                    </w:rPr>
                  </w:pPr>
                  <w:sdt>
                    <w:sdtPr>
                      <w:rPr>
                        <w:rFonts w:ascii="MS Gothic" w:eastAsia="MS Gothic" w:hAnsi="MS Gothic"/>
                      </w:rPr>
                      <w:id w:val="1503391339"/>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BC51F5" w:rsidRPr="00E549A4" w14:paraId="1842AE79" w14:textId="77777777" w:rsidTr="004044A4">
              <w:tc>
                <w:tcPr>
                  <w:tcW w:w="3847" w:type="dxa"/>
                </w:tcPr>
                <w:p w14:paraId="1E1F4E73" w14:textId="6ECD1545" w:rsidR="00BC51F5" w:rsidRPr="00E549A4" w:rsidRDefault="00BC51F5" w:rsidP="00BC51F5">
                  <w:pPr>
                    <w:rPr>
                      <w:rFonts w:ascii="Calibri" w:eastAsia="Times New Roman" w:hAnsi="Calibri" w:cs="Times New Roman"/>
                      <w:sz w:val="20"/>
                      <w:szCs w:val="20"/>
                    </w:rPr>
                  </w:pPr>
                  <w:r w:rsidRPr="00E549A4">
                    <w:rPr>
                      <w:b/>
                      <w:bCs/>
                      <w:szCs w:val="20"/>
                      <w:lang w:val="es"/>
                    </w:rPr>
                    <w:t xml:space="preserve">James </w:t>
                  </w:r>
                  <w:proofErr w:type="spellStart"/>
                  <w:r w:rsidRPr="00E549A4">
                    <w:rPr>
                      <w:b/>
                      <w:bCs/>
                      <w:szCs w:val="20"/>
                      <w:lang w:val="es"/>
                    </w:rPr>
                    <w:t>Sammuels</w:t>
                  </w:r>
                  <w:proofErr w:type="spellEnd"/>
                </w:p>
              </w:tc>
              <w:tc>
                <w:tcPr>
                  <w:tcW w:w="1170" w:type="dxa"/>
                </w:tcPr>
                <w:p w14:paraId="321161A7" w14:textId="0A3792F3" w:rsidR="00BC51F5" w:rsidRPr="00E549A4" w:rsidRDefault="00116F3D" w:rsidP="00BC51F5">
                  <w:pPr>
                    <w:rPr>
                      <w:rFonts w:ascii="Calibri" w:eastAsia="Times New Roman" w:hAnsi="Calibri" w:cs="Times New Roman"/>
                      <w:sz w:val="20"/>
                      <w:szCs w:val="20"/>
                    </w:rPr>
                  </w:pPr>
                  <w:sdt>
                    <w:sdtPr>
                      <w:rPr>
                        <w:rFonts w:ascii="MS Gothic" w:eastAsia="MS Gothic" w:hAnsi="MS Gothic"/>
                      </w:rPr>
                      <w:id w:val="-564181830"/>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c>
                <w:tcPr>
                  <w:tcW w:w="1166" w:type="dxa"/>
                </w:tcPr>
                <w:p w14:paraId="5FDC0F45" w14:textId="04E2B513" w:rsidR="00BC51F5" w:rsidRPr="00E549A4" w:rsidRDefault="00116F3D" w:rsidP="00BC51F5">
                  <w:pPr>
                    <w:rPr>
                      <w:rFonts w:ascii="Calibri" w:eastAsia="Times New Roman" w:hAnsi="Calibri" w:cs="Times New Roman"/>
                      <w:sz w:val="20"/>
                      <w:szCs w:val="20"/>
                    </w:rPr>
                  </w:pPr>
                  <w:sdt>
                    <w:sdtPr>
                      <w:id w:val="-1612124261"/>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r>
            <w:tr w:rsidR="00BC51F5" w:rsidRPr="00E549A4" w14:paraId="67B9C308" w14:textId="77777777" w:rsidTr="004044A4">
              <w:tc>
                <w:tcPr>
                  <w:tcW w:w="3847" w:type="dxa"/>
                </w:tcPr>
                <w:p w14:paraId="0A0AB5D8" w14:textId="7CA6195D" w:rsidR="00BC51F5" w:rsidRPr="00E549A4" w:rsidRDefault="00BC51F5" w:rsidP="00BC51F5">
                  <w:pPr>
                    <w:rPr>
                      <w:rFonts w:ascii="Calibri" w:eastAsia="Times New Roman" w:hAnsi="Calibri" w:cs="Times New Roman"/>
                      <w:sz w:val="20"/>
                      <w:szCs w:val="20"/>
                    </w:rPr>
                  </w:pPr>
                  <w:r w:rsidRPr="00E549A4">
                    <w:rPr>
                      <w:b/>
                      <w:bCs/>
                      <w:szCs w:val="20"/>
                      <w:lang w:val="es"/>
                    </w:rPr>
                    <w:t xml:space="preserve">James </w:t>
                  </w:r>
                  <w:proofErr w:type="spellStart"/>
                  <w:r w:rsidRPr="00E549A4">
                    <w:rPr>
                      <w:b/>
                      <w:bCs/>
                      <w:szCs w:val="20"/>
                      <w:lang w:val="es"/>
                    </w:rPr>
                    <w:t>Tillett</w:t>
                  </w:r>
                  <w:proofErr w:type="spellEnd"/>
                </w:p>
              </w:tc>
              <w:tc>
                <w:tcPr>
                  <w:tcW w:w="1170" w:type="dxa"/>
                </w:tcPr>
                <w:p w14:paraId="57EEE766" w14:textId="4ABEAE75" w:rsidR="00BC51F5" w:rsidRPr="00E549A4" w:rsidRDefault="00116F3D" w:rsidP="00BC51F5">
                  <w:pPr>
                    <w:rPr>
                      <w:rFonts w:ascii="Calibri" w:eastAsia="Times New Roman" w:hAnsi="Calibri" w:cs="Times New Roman"/>
                      <w:sz w:val="20"/>
                      <w:szCs w:val="20"/>
                    </w:rPr>
                  </w:pPr>
                  <w:sdt>
                    <w:sdtPr>
                      <w:id w:val="-387731819"/>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03301C49" w14:textId="21D7D748" w:rsidR="00BC51F5" w:rsidRPr="00E549A4" w:rsidRDefault="00116F3D" w:rsidP="00BC51F5">
                  <w:pPr>
                    <w:rPr>
                      <w:rFonts w:ascii="Calibri" w:eastAsia="Times New Roman" w:hAnsi="Calibri" w:cs="Times New Roman"/>
                      <w:sz w:val="20"/>
                      <w:szCs w:val="20"/>
                    </w:rPr>
                  </w:pPr>
                  <w:sdt>
                    <w:sdtPr>
                      <w:rPr>
                        <w:rFonts w:ascii="MS Gothic" w:eastAsia="MS Gothic" w:hAnsi="MS Gothic"/>
                      </w:rPr>
                      <w:id w:val="-1601645776"/>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824081" w:rsidRPr="00E549A4" w14:paraId="05250A96" w14:textId="77777777" w:rsidTr="004044A4">
              <w:tc>
                <w:tcPr>
                  <w:tcW w:w="3847" w:type="dxa"/>
                </w:tcPr>
                <w:p w14:paraId="4646BFA5" w14:textId="44B808C5" w:rsidR="00824081" w:rsidRPr="00E549A4" w:rsidRDefault="00824081" w:rsidP="00824081">
                  <w:pPr>
                    <w:rPr>
                      <w:rFonts w:ascii="Calibri" w:eastAsia="Times New Roman" w:hAnsi="Calibri" w:cs="Times New Roman"/>
                      <w:sz w:val="20"/>
                      <w:szCs w:val="20"/>
                    </w:rPr>
                  </w:pPr>
                  <w:proofErr w:type="spellStart"/>
                  <w:r w:rsidRPr="00E549A4">
                    <w:rPr>
                      <w:b/>
                      <w:bCs/>
                      <w:szCs w:val="20"/>
                      <w:lang w:val="es"/>
                    </w:rPr>
                    <w:t>Jsani</w:t>
                  </w:r>
                  <w:proofErr w:type="spellEnd"/>
                  <w:r w:rsidRPr="00E549A4">
                    <w:rPr>
                      <w:b/>
                      <w:bCs/>
                      <w:szCs w:val="20"/>
                      <w:lang w:val="es"/>
                    </w:rPr>
                    <w:t xml:space="preserve"> Henry</w:t>
                  </w:r>
                </w:p>
              </w:tc>
              <w:tc>
                <w:tcPr>
                  <w:tcW w:w="1170" w:type="dxa"/>
                </w:tcPr>
                <w:p w14:paraId="2332E480" w14:textId="7F3E7300" w:rsidR="00824081" w:rsidRPr="00E549A4" w:rsidRDefault="00116F3D" w:rsidP="00824081">
                  <w:pPr>
                    <w:rPr>
                      <w:rFonts w:ascii="Calibri" w:eastAsia="Times New Roman" w:hAnsi="Calibri" w:cs="Times New Roman"/>
                      <w:sz w:val="20"/>
                      <w:szCs w:val="20"/>
                    </w:rPr>
                  </w:pPr>
                  <w:sdt>
                    <w:sdtPr>
                      <w:id w:val="-419186792"/>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7274C7E1" w14:textId="1A5CD008" w:rsidR="00824081" w:rsidRPr="00E549A4" w:rsidRDefault="00116F3D" w:rsidP="00824081">
                  <w:pPr>
                    <w:rPr>
                      <w:rFonts w:ascii="Calibri" w:eastAsia="Times New Roman" w:hAnsi="Calibri" w:cs="Times New Roman"/>
                      <w:sz w:val="20"/>
                      <w:szCs w:val="20"/>
                    </w:rPr>
                  </w:pPr>
                  <w:sdt>
                    <w:sdtPr>
                      <w:rPr>
                        <w:rFonts w:ascii="MS Gothic" w:eastAsia="MS Gothic" w:hAnsi="MS Gothic"/>
                      </w:rPr>
                      <w:id w:val="-522940376"/>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824081" w:rsidRPr="00E549A4" w14:paraId="5A6BAC3E" w14:textId="77777777" w:rsidTr="004044A4">
              <w:tc>
                <w:tcPr>
                  <w:tcW w:w="3847" w:type="dxa"/>
                </w:tcPr>
                <w:p w14:paraId="706A10A5" w14:textId="0E350722" w:rsidR="00824081" w:rsidRPr="00E549A4" w:rsidRDefault="00824081" w:rsidP="00824081">
                  <w:pPr>
                    <w:rPr>
                      <w:rFonts w:ascii="Calibri" w:eastAsia="Times New Roman" w:hAnsi="Calibri" w:cs="Times New Roman"/>
                      <w:sz w:val="20"/>
                      <w:szCs w:val="20"/>
                    </w:rPr>
                  </w:pPr>
                  <w:r w:rsidRPr="00E549A4">
                    <w:rPr>
                      <w:b/>
                      <w:bCs/>
                      <w:sz w:val="20"/>
                      <w:szCs w:val="20"/>
                      <w:lang w:val="es"/>
                    </w:rPr>
                    <w:t>Kathleen Wilcox</w:t>
                  </w:r>
                </w:p>
              </w:tc>
              <w:tc>
                <w:tcPr>
                  <w:tcW w:w="1170" w:type="dxa"/>
                </w:tcPr>
                <w:p w14:paraId="300D7B89" w14:textId="698A2A73" w:rsidR="00824081" w:rsidRPr="00E549A4" w:rsidRDefault="00116F3D" w:rsidP="00824081">
                  <w:pPr>
                    <w:rPr>
                      <w:rFonts w:ascii="Calibri" w:eastAsia="Times New Roman" w:hAnsi="Calibri" w:cs="Times New Roman"/>
                      <w:sz w:val="20"/>
                      <w:szCs w:val="20"/>
                    </w:rPr>
                  </w:pPr>
                  <w:sdt>
                    <w:sdtPr>
                      <w:rPr>
                        <w:rFonts w:ascii="MS Gothic" w:eastAsia="MS Gothic" w:hAnsi="MS Gothic"/>
                      </w:rPr>
                      <w:id w:val="-1805229642"/>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c>
                <w:tcPr>
                  <w:tcW w:w="1166" w:type="dxa"/>
                </w:tcPr>
                <w:p w14:paraId="1048F856" w14:textId="2E18B7EA" w:rsidR="00824081" w:rsidRPr="00E549A4" w:rsidRDefault="00116F3D" w:rsidP="00824081">
                  <w:pPr>
                    <w:rPr>
                      <w:rFonts w:ascii="Calibri" w:eastAsia="Times New Roman" w:hAnsi="Calibri" w:cs="Times New Roman"/>
                      <w:sz w:val="20"/>
                      <w:szCs w:val="20"/>
                    </w:rPr>
                  </w:pPr>
                  <w:sdt>
                    <w:sdtPr>
                      <w:id w:val="-908693257"/>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r>
            <w:tr w:rsidR="00E33369" w:rsidRPr="00E549A4" w14:paraId="575CFEFF" w14:textId="77777777" w:rsidTr="004044A4">
              <w:tc>
                <w:tcPr>
                  <w:tcW w:w="3847" w:type="dxa"/>
                </w:tcPr>
                <w:p w14:paraId="4855C3E6" w14:textId="4448D8A3" w:rsidR="00E33369" w:rsidRPr="00E549A4" w:rsidRDefault="00E33369" w:rsidP="00E33369">
                  <w:pPr>
                    <w:rPr>
                      <w:rFonts w:ascii="Calibri" w:eastAsia="Times New Roman" w:hAnsi="Calibri" w:cs="Times New Roman"/>
                      <w:sz w:val="20"/>
                      <w:szCs w:val="20"/>
                    </w:rPr>
                  </w:pPr>
                  <w:r w:rsidRPr="00E549A4">
                    <w:rPr>
                      <w:b/>
                      <w:bCs/>
                      <w:szCs w:val="20"/>
                      <w:lang w:val="es"/>
                    </w:rPr>
                    <w:t>Lara West</w:t>
                  </w:r>
                </w:p>
              </w:tc>
              <w:tc>
                <w:tcPr>
                  <w:tcW w:w="1170" w:type="dxa"/>
                </w:tcPr>
                <w:p w14:paraId="1D493D14" w14:textId="11C5A827" w:rsidR="00E33369" w:rsidRPr="00E549A4" w:rsidRDefault="00116F3D" w:rsidP="00E33369">
                  <w:sdt>
                    <w:sdtPr>
                      <w:id w:val="-627785976"/>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1DB8D8AC" w14:textId="7FED0935" w:rsidR="00E33369" w:rsidRPr="00E549A4" w:rsidRDefault="00116F3D" w:rsidP="00E33369">
                  <w:sdt>
                    <w:sdtPr>
                      <w:rPr>
                        <w:rFonts w:ascii="MS Gothic" w:eastAsia="MS Gothic" w:hAnsi="MS Gothic"/>
                      </w:rPr>
                      <w:id w:val="-290049424"/>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E33369" w:rsidRPr="00E549A4" w14:paraId="18E27935" w14:textId="77777777" w:rsidTr="004044A4">
              <w:tc>
                <w:tcPr>
                  <w:tcW w:w="3847" w:type="dxa"/>
                </w:tcPr>
                <w:p w14:paraId="23A234BE" w14:textId="37F40044" w:rsidR="00E33369" w:rsidRPr="00E549A4" w:rsidRDefault="00162624" w:rsidP="00E33369">
                  <w:pPr>
                    <w:rPr>
                      <w:rFonts w:ascii="Calibri" w:eastAsia="Times New Roman" w:hAnsi="Calibri" w:cs="Times New Roman"/>
                      <w:b/>
                      <w:bCs/>
                      <w:sz w:val="20"/>
                      <w:szCs w:val="20"/>
                    </w:rPr>
                  </w:pPr>
                  <w:proofErr w:type="spellStart"/>
                  <w:r w:rsidRPr="00E549A4">
                    <w:rPr>
                      <w:rFonts w:ascii="Calibri" w:eastAsia="Times New Roman" w:hAnsi="Calibri" w:cs="Times New Roman"/>
                      <w:b/>
                      <w:bCs/>
                      <w:sz w:val="20"/>
                      <w:szCs w:val="20"/>
                      <w:lang w:val="es"/>
                    </w:rPr>
                    <w:t>Starlett</w:t>
                  </w:r>
                  <w:proofErr w:type="spellEnd"/>
                  <w:r w:rsidRPr="00E549A4">
                    <w:rPr>
                      <w:rFonts w:ascii="Calibri" w:eastAsia="Times New Roman" w:hAnsi="Calibri" w:cs="Times New Roman"/>
                      <w:b/>
                      <w:bCs/>
                      <w:sz w:val="20"/>
                      <w:szCs w:val="20"/>
                      <w:lang w:val="es"/>
                    </w:rPr>
                    <w:t xml:space="preserve"> Cunningham</w:t>
                  </w:r>
                </w:p>
              </w:tc>
              <w:tc>
                <w:tcPr>
                  <w:tcW w:w="1170" w:type="dxa"/>
                </w:tcPr>
                <w:p w14:paraId="20CE1778" w14:textId="2EB8A99D" w:rsidR="00E33369" w:rsidRPr="00E549A4" w:rsidRDefault="00116F3D" w:rsidP="00E33369">
                  <w:sdt>
                    <w:sdtPr>
                      <w:rPr>
                        <w:rFonts w:ascii="MS Gothic" w:eastAsia="MS Gothic" w:hAnsi="MS Gothic"/>
                      </w:rPr>
                      <w:id w:val="-1323580047"/>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c>
                <w:tcPr>
                  <w:tcW w:w="1166" w:type="dxa"/>
                </w:tcPr>
                <w:p w14:paraId="1D672426" w14:textId="6DC22FD2" w:rsidR="00E33369" w:rsidRPr="00E549A4" w:rsidRDefault="00116F3D" w:rsidP="00E33369">
                  <w:sdt>
                    <w:sdtPr>
                      <w:id w:val="-2029163035"/>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r>
          </w:tbl>
          <w:p w14:paraId="7B136A01" w14:textId="77777777" w:rsidR="000B4BB5" w:rsidRPr="00E549A4" w:rsidRDefault="000B4BB5" w:rsidP="00F00DBB">
            <w:pPr>
              <w:rPr>
                <w:rFonts w:ascii="Calibri" w:eastAsia="Times New Roman" w:hAnsi="Calibri" w:cs="Times New Roman"/>
                <w:b/>
                <w:bCs/>
                <w:sz w:val="20"/>
                <w:szCs w:val="20"/>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rsidRPr="00E549A4" w14:paraId="5A30F1EC" w14:textId="77777777" w:rsidTr="00F30C37">
              <w:tc>
                <w:tcPr>
                  <w:tcW w:w="4027" w:type="dxa"/>
                </w:tcPr>
                <w:p w14:paraId="058E42D4" w14:textId="19E115B2" w:rsidR="004044A4" w:rsidRPr="00E549A4" w:rsidRDefault="004044A4" w:rsidP="00F00DBB">
                  <w:pPr>
                    <w:rPr>
                      <w:rFonts w:ascii="Calibri" w:eastAsia="Times New Roman" w:hAnsi="Calibri" w:cs="Times New Roman"/>
                      <w:b/>
                      <w:bCs/>
                      <w:sz w:val="20"/>
                      <w:szCs w:val="20"/>
                    </w:rPr>
                  </w:pPr>
                  <w:r w:rsidRPr="00E549A4">
                    <w:rPr>
                      <w:rFonts w:ascii="Calibri" w:eastAsia="Times New Roman" w:hAnsi="Calibri" w:cs="Times New Roman"/>
                      <w:b/>
                      <w:bCs/>
                      <w:sz w:val="20"/>
                      <w:szCs w:val="20"/>
                      <w:lang w:val="es"/>
                    </w:rPr>
                    <w:t xml:space="preserve">Nombre </w:t>
                  </w:r>
                </w:p>
              </w:tc>
              <w:tc>
                <w:tcPr>
                  <w:tcW w:w="1166" w:type="dxa"/>
                </w:tcPr>
                <w:p w14:paraId="3DA68599" w14:textId="5E9A7DA6" w:rsidR="004044A4" w:rsidRPr="00E549A4" w:rsidRDefault="004044A4" w:rsidP="00F00DBB">
                  <w:pPr>
                    <w:rPr>
                      <w:rFonts w:ascii="Calibri" w:eastAsia="Times New Roman" w:hAnsi="Calibri" w:cs="Times New Roman"/>
                      <w:b/>
                      <w:bCs/>
                      <w:sz w:val="20"/>
                      <w:szCs w:val="20"/>
                    </w:rPr>
                  </w:pPr>
                  <w:r w:rsidRPr="00E549A4">
                    <w:rPr>
                      <w:rFonts w:ascii="Calibri" w:eastAsia="Times New Roman" w:hAnsi="Calibri" w:cs="Times New Roman"/>
                      <w:b/>
                      <w:bCs/>
                      <w:sz w:val="20"/>
                      <w:szCs w:val="20"/>
                      <w:lang w:val="es"/>
                    </w:rPr>
                    <w:t>Presente</w:t>
                  </w:r>
                </w:p>
              </w:tc>
              <w:tc>
                <w:tcPr>
                  <w:tcW w:w="1166" w:type="dxa"/>
                </w:tcPr>
                <w:p w14:paraId="38601C78" w14:textId="61AED027" w:rsidR="004044A4" w:rsidRPr="00E549A4" w:rsidRDefault="004044A4" w:rsidP="00F00DBB">
                  <w:pPr>
                    <w:rPr>
                      <w:rFonts w:ascii="Calibri" w:eastAsia="Times New Roman" w:hAnsi="Calibri" w:cs="Times New Roman"/>
                      <w:b/>
                      <w:bCs/>
                      <w:sz w:val="20"/>
                      <w:szCs w:val="20"/>
                    </w:rPr>
                  </w:pPr>
                  <w:r w:rsidRPr="00E549A4">
                    <w:rPr>
                      <w:rFonts w:ascii="Calibri" w:eastAsia="Times New Roman" w:hAnsi="Calibri" w:cs="Times New Roman"/>
                      <w:b/>
                      <w:bCs/>
                      <w:sz w:val="20"/>
                      <w:szCs w:val="20"/>
                      <w:lang w:val="es"/>
                    </w:rPr>
                    <w:t>Ausente</w:t>
                  </w:r>
                </w:p>
              </w:tc>
            </w:tr>
            <w:tr w:rsidR="000571F2" w:rsidRPr="00E549A4" w14:paraId="6B3BFDEF" w14:textId="77777777" w:rsidTr="00F30C37">
              <w:tc>
                <w:tcPr>
                  <w:tcW w:w="4027" w:type="dxa"/>
                </w:tcPr>
                <w:p w14:paraId="22BDCBC5" w14:textId="0D7C95B1" w:rsidR="000571F2" w:rsidRPr="00E549A4" w:rsidRDefault="00E33369" w:rsidP="000571F2">
                  <w:pPr>
                    <w:rPr>
                      <w:rFonts w:ascii="Calibri" w:eastAsia="Times New Roman" w:hAnsi="Calibri" w:cs="Times New Roman"/>
                      <w:sz w:val="20"/>
                      <w:szCs w:val="20"/>
                    </w:rPr>
                  </w:pPr>
                  <w:r w:rsidRPr="00E549A4">
                    <w:rPr>
                      <w:b/>
                      <w:bCs/>
                      <w:szCs w:val="20"/>
                      <w:lang w:val="es"/>
                    </w:rPr>
                    <w:t>Lisa Al-</w:t>
                  </w:r>
                  <w:proofErr w:type="spellStart"/>
                  <w:r w:rsidRPr="00E549A4">
                    <w:rPr>
                      <w:b/>
                      <w:bCs/>
                      <w:szCs w:val="20"/>
                      <w:lang w:val="es"/>
                    </w:rPr>
                    <w:t>Hakim</w:t>
                  </w:r>
                  <w:proofErr w:type="spellEnd"/>
                </w:p>
              </w:tc>
              <w:tc>
                <w:tcPr>
                  <w:tcW w:w="1166" w:type="dxa"/>
                </w:tcPr>
                <w:p w14:paraId="663F00A8" w14:textId="3999DAF0" w:rsidR="000571F2" w:rsidRPr="00E549A4" w:rsidRDefault="00116F3D" w:rsidP="000571F2">
                  <w:pPr>
                    <w:rPr>
                      <w:rFonts w:ascii="Calibri" w:eastAsia="Times New Roman" w:hAnsi="Calibri" w:cs="Times New Roman"/>
                      <w:sz w:val="20"/>
                      <w:szCs w:val="20"/>
                    </w:rPr>
                  </w:pPr>
                  <w:sdt>
                    <w:sdtPr>
                      <w:id w:val="453371045"/>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1A0920CC" w14:textId="76E5C560"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1844046705"/>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0571F2" w:rsidRPr="00E549A4" w14:paraId="2BD4CCEC" w14:textId="77777777" w:rsidTr="00F30C37">
              <w:tc>
                <w:tcPr>
                  <w:tcW w:w="4027" w:type="dxa"/>
                </w:tcPr>
                <w:p w14:paraId="7789B321" w14:textId="6AC21666" w:rsidR="000571F2" w:rsidRPr="00E549A4" w:rsidRDefault="00E33369" w:rsidP="000571F2">
                  <w:pPr>
                    <w:rPr>
                      <w:rFonts w:ascii="Calibri" w:eastAsia="Times New Roman" w:hAnsi="Calibri" w:cs="Times New Roman"/>
                      <w:sz w:val="20"/>
                      <w:szCs w:val="20"/>
                    </w:rPr>
                  </w:pPr>
                  <w:proofErr w:type="spellStart"/>
                  <w:r w:rsidRPr="00E549A4">
                    <w:rPr>
                      <w:b/>
                      <w:bCs/>
                      <w:szCs w:val="20"/>
                      <w:lang w:val="es"/>
                    </w:rPr>
                    <w:t>Nia</w:t>
                  </w:r>
                  <w:proofErr w:type="spellEnd"/>
                  <w:r w:rsidRPr="00E549A4">
                    <w:rPr>
                      <w:b/>
                      <w:bCs/>
                      <w:szCs w:val="20"/>
                      <w:lang w:val="es"/>
                    </w:rPr>
                    <w:t xml:space="preserve"> </w:t>
                  </w:r>
                  <w:proofErr w:type="spellStart"/>
                  <w:r w:rsidRPr="00E549A4">
                    <w:rPr>
                      <w:b/>
                      <w:bCs/>
                      <w:szCs w:val="20"/>
                      <w:lang w:val="es"/>
                    </w:rPr>
                    <w:t>Sipili</w:t>
                  </w:r>
                  <w:proofErr w:type="spellEnd"/>
                </w:p>
              </w:tc>
              <w:tc>
                <w:tcPr>
                  <w:tcW w:w="1166" w:type="dxa"/>
                </w:tcPr>
                <w:p w14:paraId="78A9FC2F" w14:textId="2FC84C85" w:rsidR="000571F2" w:rsidRPr="00E549A4" w:rsidRDefault="00116F3D" w:rsidP="000571F2">
                  <w:pPr>
                    <w:rPr>
                      <w:rFonts w:ascii="Calibri" w:eastAsia="Times New Roman" w:hAnsi="Calibri" w:cs="Times New Roman"/>
                      <w:sz w:val="20"/>
                      <w:szCs w:val="20"/>
                    </w:rPr>
                  </w:pPr>
                  <w:sdt>
                    <w:sdtPr>
                      <w:id w:val="-70587632"/>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2C3C9960" w14:textId="3B0EB1C2"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1285576414"/>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0571F2" w:rsidRPr="00E549A4" w14:paraId="1B9E4E7D" w14:textId="77777777" w:rsidTr="00F30C37">
              <w:tc>
                <w:tcPr>
                  <w:tcW w:w="4027" w:type="dxa"/>
                </w:tcPr>
                <w:p w14:paraId="1DC6336E" w14:textId="3B99CD29" w:rsidR="000571F2" w:rsidRPr="00E549A4" w:rsidRDefault="000571F2" w:rsidP="000571F2">
                  <w:pPr>
                    <w:rPr>
                      <w:rFonts w:ascii="Calibri" w:eastAsia="Times New Roman" w:hAnsi="Calibri" w:cs="Times New Roman"/>
                      <w:sz w:val="20"/>
                      <w:szCs w:val="20"/>
                    </w:rPr>
                  </w:pPr>
                  <w:r w:rsidRPr="00E549A4">
                    <w:rPr>
                      <w:b/>
                      <w:bCs/>
                      <w:szCs w:val="20"/>
                      <w:lang w:val="es"/>
                    </w:rPr>
                    <w:t>Monte Levine</w:t>
                  </w:r>
                </w:p>
              </w:tc>
              <w:tc>
                <w:tcPr>
                  <w:tcW w:w="1166" w:type="dxa"/>
                </w:tcPr>
                <w:p w14:paraId="57AFD78E" w14:textId="76DCFFE1" w:rsidR="000571F2" w:rsidRPr="00E549A4" w:rsidRDefault="00116F3D" w:rsidP="000571F2">
                  <w:pPr>
                    <w:rPr>
                      <w:rFonts w:ascii="Calibri" w:eastAsia="Times New Roman" w:hAnsi="Calibri" w:cs="Times New Roman"/>
                      <w:sz w:val="20"/>
                      <w:szCs w:val="20"/>
                    </w:rPr>
                  </w:pPr>
                  <w:sdt>
                    <w:sdtPr>
                      <w:id w:val="809909573"/>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0FED3F33" w14:textId="3DC63A37"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797140010"/>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0571F2" w:rsidRPr="00E549A4" w14:paraId="0A3A9D75" w14:textId="77777777" w:rsidTr="00F30C37">
              <w:tc>
                <w:tcPr>
                  <w:tcW w:w="4027" w:type="dxa"/>
                </w:tcPr>
                <w:p w14:paraId="2335C56A" w14:textId="0BB948AD" w:rsidR="000571F2" w:rsidRPr="00E549A4" w:rsidRDefault="000571F2" w:rsidP="000571F2">
                  <w:pPr>
                    <w:rPr>
                      <w:rFonts w:ascii="Calibri" w:eastAsia="Times New Roman" w:hAnsi="Calibri" w:cs="Times New Roman"/>
                      <w:sz w:val="20"/>
                      <w:szCs w:val="20"/>
                    </w:rPr>
                  </w:pPr>
                  <w:r w:rsidRPr="00E549A4">
                    <w:rPr>
                      <w:b/>
                      <w:bCs/>
                      <w:szCs w:val="20"/>
                      <w:lang w:val="es"/>
                    </w:rPr>
                    <w:t xml:space="preserve">Omero </w:t>
                  </w:r>
                  <w:proofErr w:type="spellStart"/>
                  <w:r w:rsidRPr="00E549A4">
                    <w:rPr>
                      <w:b/>
                      <w:bCs/>
                      <w:szCs w:val="20"/>
                      <w:lang w:val="es"/>
                    </w:rPr>
                    <w:t>Perez</w:t>
                  </w:r>
                  <w:proofErr w:type="spellEnd"/>
                </w:p>
              </w:tc>
              <w:tc>
                <w:tcPr>
                  <w:tcW w:w="1166" w:type="dxa"/>
                </w:tcPr>
                <w:p w14:paraId="60E3293B" w14:textId="751B0BA4" w:rsidR="000571F2" w:rsidRPr="00E549A4" w:rsidRDefault="00116F3D" w:rsidP="000571F2">
                  <w:pPr>
                    <w:rPr>
                      <w:rFonts w:ascii="Calibri" w:eastAsia="Times New Roman" w:hAnsi="Calibri" w:cs="Times New Roman"/>
                      <w:sz w:val="20"/>
                      <w:szCs w:val="20"/>
                    </w:rPr>
                  </w:pPr>
                  <w:sdt>
                    <w:sdtPr>
                      <w:id w:val="-612984583"/>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05B19F58" w14:textId="78B4288B"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819423736"/>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0571F2" w:rsidRPr="00E549A4" w14:paraId="2F091B7D" w14:textId="77777777" w:rsidTr="00F30C37">
              <w:tc>
                <w:tcPr>
                  <w:tcW w:w="4027" w:type="dxa"/>
                </w:tcPr>
                <w:p w14:paraId="05B7449C" w14:textId="1B00C6B1" w:rsidR="000571F2" w:rsidRPr="00E549A4" w:rsidRDefault="00BC51F5" w:rsidP="000571F2">
                  <w:pPr>
                    <w:rPr>
                      <w:rFonts w:ascii="Calibri" w:eastAsia="Times New Roman" w:hAnsi="Calibri" w:cs="Times New Roman"/>
                      <w:sz w:val="20"/>
                      <w:szCs w:val="20"/>
                    </w:rPr>
                  </w:pPr>
                  <w:r w:rsidRPr="00E549A4">
                    <w:rPr>
                      <w:rFonts w:ascii="Calibri" w:eastAsia="Times New Roman" w:hAnsi="Calibri" w:cs="Times New Roman"/>
                      <w:b/>
                      <w:bCs/>
                      <w:sz w:val="20"/>
                      <w:szCs w:val="20"/>
                      <w:lang w:val="es"/>
                    </w:rPr>
                    <w:t xml:space="preserve">Remy </w:t>
                  </w:r>
                  <w:proofErr w:type="spellStart"/>
                  <w:r w:rsidRPr="00E549A4">
                    <w:rPr>
                      <w:rFonts w:ascii="Calibri" w:eastAsia="Times New Roman" w:hAnsi="Calibri" w:cs="Times New Roman"/>
                      <w:b/>
                      <w:bCs/>
                      <w:sz w:val="20"/>
                      <w:szCs w:val="20"/>
                      <w:lang w:val="es"/>
                    </w:rPr>
                    <w:t>Styrkowicz</w:t>
                  </w:r>
                  <w:proofErr w:type="spellEnd"/>
                </w:p>
              </w:tc>
              <w:tc>
                <w:tcPr>
                  <w:tcW w:w="1166" w:type="dxa"/>
                </w:tcPr>
                <w:p w14:paraId="62CFC380" w14:textId="6808F25F" w:rsidR="000571F2" w:rsidRPr="00E549A4" w:rsidRDefault="00116F3D" w:rsidP="000571F2">
                  <w:pPr>
                    <w:rPr>
                      <w:rFonts w:ascii="Calibri" w:eastAsia="Times New Roman" w:hAnsi="Calibri" w:cs="Times New Roman"/>
                      <w:sz w:val="20"/>
                      <w:szCs w:val="20"/>
                    </w:rPr>
                  </w:pPr>
                  <w:sdt>
                    <w:sdtPr>
                      <w:id w:val="-625852616"/>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578BF37E" w14:textId="47785A3D" w:rsidR="000571F2" w:rsidRPr="00E549A4" w:rsidRDefault="00116F3D" w:rsidP="000571F2">
                  <w:pPr>
                    <w:rPr>
                      <w:rFonts w:ascii="Calibri" w:eastAsia="Times New Roman" w:hAnsi="Calibri" w:cs="Times New Roman"/>
                      <w:sz w:val="20"/>
                      <w:szCs w:val="20"/>
                    </w:rPr>
                  </w:pPr>
                  <w:sdt>
                    <w:sdtPr>
                      <w:rPr>
                        <w:rFonts w:ascii="MS Gothic" w:eastAsia="MS Gothic" w:hAnsi="MS Gothic"/>
                      </w:rPr>
                      <w:id w:val="507188444"/>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BC51F5" w:rsidRPr="00E549A4" w14:paraId="1973EA62" w14:textId="77777777" w:rsidTr="00F30C37">
              <w:tc>
                <w:tcPr>
                  <w:tcW w:w="4027" w:type="dxa"/>
                </w:tcPr>
                <w:p w14:paraId="0B7067C6" w14:textId="5B24DBDC" w:rsidR="00BC51F5" w:rsidRPr="00E549A4" w:rsidRDefault="00BC51F5" w:rsidP="00BC51F5">
                  <w:pPr>
                    <w:rPr>
                      <w:rFonts w:ascii="Calibri" w:eastAsia="Times New Roman" w:hAnsi="Calibri" w:cs="Times New Roman"/>
                      <w:sz w:val="20"/>
                      <w:szCs w:val="20"/>
                    </w:rPr>
                  </w:pPr>
                  <w:r w:rsidRPr="00E549A4">
                    <w:rPr>
                      <w:b/>
                      <w:bCs/>
                      <w:szCs w:val="20"/>
                      <w:lang w:val="es"/>
                    </w:rPr>
                    <w:t xml:space="preserve">Stephen </w:t>
                  </w:r>
                  <w:proofErr w:type="spellStart"/>
                  <w:r w:rsidRPr="00E549A4">
                    <w:rPr>
                      <w:b/>
                      <w:bCs/>
                      <w:szCs w:val="20"/>
                      <w:lang w:val="es"/>
                    </w:rPr>
                    <w:t>Zeller</w:t>
                  </w:r>
                  <w:proofErr w:type="spellEnd"/>
                </w:p>
              </w:tc>
              <w:tc>
                <w:tcPr>
                  <w:tcW w:w="1166" w:type="dxa"/>
                </w:tcPr>
                <w:p w14:paraId="7249D6D7" w14:textId="3FA6EBEE" w:rsidR="00BC51F5" w:rsidRPr="00E549A4" w:rsidRDefault="00116F3D" w:rsidP="00BC51F5">
                  <w:pPr>
                    <w:rPr>
                      <w:rFonts w:ascii="Calibri" w:eastAsia="Times New Roman" w:hAnsi="Calibri" w:cs="Times New Roman"/>
                      <w:sz w:val="20"/>
                      <w:szCs w:val="20"/>
                    </w:rPr>
                  </w:pPr>
                  <w:sdt>
                    <w:sdtPr>
                      <w:rPr>
                        <w:rFonts w:ascii="MS Gothic" w:eastAsia="MS Gothic" w:hAnsi="MS Gothic"/>
                      </w:rPr>
                      <w:id w:val="-1886942149"/>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c>
                <w:tcPr>
                  <w:tcW w:w="1166" w:type="dxa"/>
                </w:tcPr>
                <w:p w14:paraId="15C3F3FD" w14:textId="52D697FE" w:rsidR="00BC51F5" w:rsidRPr="00E549A4" w:rsidRDefault="00116F3D" w:rsidP="00BC51F5">
                  <w:pPr>
                    <w:rPr>
                      <w:rFonts w:ascii="Calibri" w:eastAsia="Times New Roman" w:hAnsi="Calibri" w:cs="Times New Roman"/>
                      <w:sz w:val="20"/>
                      <w:szCs w:val="20"/>
                    </w:rPr>
                  </w:pPr>
                  <w:sdt>
                    <w:sdtPr>
                      <w:id w:val="-1686517407"/>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r>
            <w:tr w:rsidR="00BC51F5" w:rsidRPr="00E549A4" w14:paraId="20F8E60B" w14:textId="77777777" w:rsidTr="00F30C37">
              <w:tc>
                <w:tcPr>
                  <w:tcW w:w="4027" w:type="dxa"/>
                </w:tcPr>
                <w:p w14:paraId="0EF3714B" w14:textId="686345FF" w:rsidR="00BC51F5" w:rsidRPr="00E549A4" w:rsidRDefault="00824081" w:rsidP="00BC51F5">
                  <w:pPr>
                    <w:rPr>
                      <w:rFonts w:ascii="Calibri" w:eastAsia="Times New Roman" w:hAnsi="Calibri" w:cs="Times New Roman"/>
                      <w:sz w:val="20"/>
                      <w:szCs w:val="20"/>
                    </w:rPr>
                  </w:pPr>
                  <w:r w:rsidRPr="00E549A4">
                    <w:rPr>
                      <w:b/>
                      <w:bCs/>
                      <w:szCs w:val="20"/>
                      <w:lang w:val="es"/>
                    </w:rPr>
                    <w:t xml:space="preserve">Tamara </w:t>
                  </w:r>
                  <w:proofErr w:type="spellStart"/>
                  <w:r w:rsidRPr="00E549A4">
                    <w:rPr>
                      <w:b/>
                      <w:bCs/>
                      <w:szCs w:val="20"/>
                      <w:lang w:val="es"/>
                    </w:rPr>
                    <w:t>Foreman</w:t>
                  </w:r>
                  <w:proofErr w:type="spellEnd"/>
                </w:p>
              </w:tc>
              <w:tc>
                <w:tcPr>
                  <w:tcW w:w="1166" w:type="dxa"/>
                </w:tcPr>
                <w:p w14:paraId="2C4E0CDC" w14:textId="2E96C070" w:rsidR="00BC51F5" w:rsidRPr="00E549A4" w:rsidRDefault="00116F3D" w:rsidP="00BC51F5">
                  <w:pPr>
                    <w:rPr>
                      <w:rFonts w:ascii="Calibri" w:eastAsia="Times New Roman" w:hAnsi="Calibri" w:cs="Times New Roman"/>
                      <w:sz w:val="20"/>
                      <w:szCs w:val="20"/>
                    </w:rPr>
                  </w:pPr>
                  <w:sdt>
                    <w:sdtPr>
                      <w:id w:val="57374644"/>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495019C1" w14:textId="5E1AC336" w:rsidR="00BC51F5" w:rsidRPr="00E549A4" w:rsidRDefault="00116F3D" w:rsidP="00BC51F5">
                  <w:pPr>
                    <w:rPr>
                      <w:rFonts w:ascii="Calibri" w:eastAsia="Times New Roman" w:hAnsi="Calibri" w:cs="Times New Roman"/>
                      <w:sz w:val="20"/>
                      <w:szCs w:val="20"/>
                    </w:rPr>
                  </w:pPr>
                  <w:sdt>
                    <w:sdtPr>
                      <w:rPr>
                        <w:rFonts w:ascii="MS Gothic" w:eastAsia="MS Gothic" w:hAnsi="MS Gothic"/>
                      </w:rPr>
                      <w:id w:val="348910123"/>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824081" w:rsidRPr="00E549A4" w14:paraId="6937C79B" w14:textId="77777777" w:rsidTr="00F30C37">
              <w:tc>
                <w:tcPr>
                  <w:tcW w:w="4027" w:type="dxa"/>
                </w:tcPr>
                <w:p w14:paraId="4DF26A1D" w14:textId="6F8C518D" w:rsidR="00824081" w:rsidRPr="00E549A4" w:rsidRDefault="00824081" w:rsidP="00824081">
                  <w:pPr>
                    <w:rPr>
                      <w:rFonts w:ascii="Calibri" w:eastAsia="Times New Roman" w:hAnsi="Calibri" w:cs="Times New Roman"/>
                      <w:sz w:val="20"/>
                      <w:szCs w:val="20"/>
                    </w:rPr>
                  </w:pPr>
                  <w:r w:rsidRPr="00E549A4">
                    <w:rPr>
                      <w:b/>
                      <w:bCs/>
                      <w:szCs w:val="20"/>
                      <w:lang w:val="es"/>
                    </w:rPr>
                    <w:t>Walter McKenzie</w:t>
                  </w:r>
                </w:p>
              </w:tc>
              <w:tc>
                <w:tcPr>
                  <w:tcW w:w="1166" w:type="dxa"/>
                </w:tcPr>
                <w:p w14:paraId="67DDB0B3" w14:textId="79A09723" w:rsidR="00824081" w:rsidRPr="00E549A4" w:rsidRDefault="00116F3D" w:rsidP="00824081">
                  <w:pPr>
                    <w:rPr>
                      <w:rFonts w:ascii="Calibri" w:eastAsia="Times New Roman" w:hAnsi="Calibri" w:cs="Times New Roman"/>
                      <w:sz w:val="20"/>
                      <w:szCs w:val="20"/>
                    </w:rPr>
                  </w:pPr>
                  <w:sdt>
                    <w:sdtPr>
                      <w:id w:val="1762798108"/>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3ED0BEE2" w14:textId="5A6DE6AD" w:rsidR="00824081" w:rsidRPr="00E549A4" w:rsidRDefault="00116F3D" w:rsidP="00824081">
                  <w:pPr>
                    <w:rPr>
                      <w:rFonts w:ascii="Calibri" w:eastAsia="Times New Roman" w:hAnsi="Calibri" w:cs="Times New Roman"/>
                      <w:sz w:val="20"/>
                      <w:szCs w:val="20"/>
                    </w:rPr>
                  </w:pPr>
                  <w:sdt>
                    <w:sdtPr>
                      <w:rPr>
                        <w:rFonts w:ascii="MS Gothic" w:eastAsia="MS Gothic" w:hAnsi="MS Gothic"/>
                      </w:rPr>
                      <w:id w:val="-2021694975"/>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824081" w:rsidRPr="00E549A4" w14:paraId="7F68D7A2" w14:textId="77777777" w:rsidTr="00F30C37">
              <w:tc>
                <w:tcPr>
                  <w:tcW w:w="4027" w:type="dxa"/>
                </w:tcPr>
                <w:p w14:paraId="5B660586" w14:textId="1EAD5376" w:rsidR="00824081" w:rsidRPr="00E549A4" w:rsidRDefault="00824081" w:rsidP="00824081">
                  <w:pPr>
                    <w:tabs>
                      <w:tab w:val="left" w:pos="2784"/>
                    </w:tabs>
                    <w:rPr>
                      <w:rFonts w:ascii="Calibri" w:eastAsia="Times New Roman" w:hAnsi="Calibri" w:cs="Times New Roman"/>
                      <w:b/>
                      <w:bCs/>
                      <w:sz w:val="20"/>
                      <w:szCs w:val="20"/>
                    </w:rPr>
                  </w:pPr>
                  <w:r w:rsidRPr="00E549A4">
                    <w:rPr>
                      <w:b/>
                      <w:bCs/>
                      <w:szCs w:val="20"/>
                      <w:lang w:val="es"/>
                    </w:rPr>
                    <w:t>William Harrison</w:t>
                  </w:r>
                </w:p>
              </w:tc>
              <w:tc>
                <w:tcPr>
                  <w:tcW w:w="1166" w:type="dxa"/>
                </w:tcPr>
                <w:p w14:paraId="73EEBE04" w14:textId="5B76D6A2" w:rsidR="00824081" w:rsidRPr="00E549A4" w:rsidRDefault="00116F3D" w:rsidP="00824081">
                  <w:pPr>
                    <w:rPr>
                      <w:rFonts w:ascii="Calibri" w:eastAsia="Times New Roman" w:hAnsi="Calibri" w:cs="Times New Roman"/>
                      <w:sz w:val="20"/>
                      <w:szCs w:val="20"/>
                    </w:rPr>
                  </w:pPr>
                  <w:sdt>
                    <w:sdtPr>
                      <w:id w:val="1078322801"/>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28FCA594" w14:textId="57F800AC" w:rsidR="00824081" w:rsidRPr="00E549A4" w:rsidRDefault="00116F3D" w:rsidP="00824081">
                  <w:pPr>
                    <w:rPr>
                      <w:rFonts w:ascii="Calibri" w:eastAsia="Times New Roman" w:hAnsi="Calibri" w:cs="Times New Roman"/>
                      <w:sz w:val="20"/>
                      <w:szCs w:val="20"/>
                    </w:rPr>
                  </w:pPr>
                  <w:sdt>
                    <w:sdtPr>
                      <w:rPr>
                        <w:rFonts w:ascii="MS Gothic" w:eastAsia="MS Gothic" w:hAnsi="MS Gothic"/>
                      </w:rPr>
                      <w:id w:val="-452870080"/>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824081" w:rsidRPr="00E549A4" w14:paraId="0EBC86DA" w14:textId="77777777" w:rsidTr="00F30C37">
              <w:tc>
                <w:tcPr>
                  <w:tcW w:w="4027" w:type="dxa"/>
                </w:tcPr>
                <w:p w14:paraId="40C44A3A" w14:textId="710CC6A3" w:rsidR="00824081" w:rsidRPr="00E549A4" w:rsidRDefault="00824081" w:rsidP="00824081">
                  <w:pPr>
                    <w:rPr>
                      <w:rFonts w:ascii="Calibri" w:eastAsia="Times New Roman" w:hAnsi="Calibri" w:cs="Times New Roman"/>
                      <w:b/>
                      <w:bCs/>
                      <w:sz w:val="20"/>
                      <w:szCs w:val="20"/>
                    </w:rPr>
                  </w:pPr>
                  <w:proofErr w:type="spellStart"/>
                  <w:r w:rsidRPr="00E549A4">
                    <w:rPr>
                      <w:b/>
                      <w:bCs/>
                      <w:szCs w:val="20"/>
                      <w:lang w:val="es"/>
                    </w:rPr>
                    <w:t>Yob</w:t>
                  </w:r>
                  <w:proofErr w:type="spellEnd"/>
                  <w:r w:rsidRPr="00E549A4">
                    <w:rPr>
                      <w:b/>
                      <w:bCs/>
                      <w:szCs w:val="20"/>
                      <w:lang w:val="es"/>
                    </w:rPr>
                    <w:t xml:space="preserve"> </w:t>
                  </w:r>
                  <w:proofErr w:type="spellStart"/>
                  <w:r w:rsidRPr="00E549A4">
                    <w:rPr>
                      <w:b/>
                      <w:bCs/>
                      <w:szCs w:val="20"/>
                      <w:lang w:val="es"/>
                    </w:rPr>
                    <w:t>Benami</w:t>
                  </w:r>
                  <w:proofErr w:type="spellEnd"/>
                </w:p>
              </w:tc>
              <w:tc>
                <w:tcPr>
                  <w:tcW w:w="1166" w:type="dxa"/>
                </w:tcPr>
                <w:p w14:paraId="45606E42" w14:textId="3472F2A6" w:rsidR="00824081" w:rsidRPr="00E549A4" w:rsidRDefault="00116F3D" w:rsidP="00824081">
                  <w:pPr>
                    <w:rPr>
                      <w:rFonts w:ascii="Calibri" w:eastAsia="Times New Roman" w:hAnsi="Calibri" w:cs="Times New Roman"/>
                      <w:sz w:val="20"/>
                      <w:szCs w:val="20"/>
                    </w:rPr>
                  </w:pPr>
                  <w:sdt>
                    <w:sdtPr>
                      <w:id w:val="-1784959986"/>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1F72B5FE" w14:textId="2B1DF2B7" w:rsidR="00824081" w:rsidRPr="00E549A4" w:rsidRDefault="00116F3D" w:rsidP="00824081">
                  <w:pPr>
                    <w:rPr>
                      <w:rFonts w:ascii="Calibri" w:eastAsia="Times New Roman" w:hAnsi="Calibri" w:cs="Times New Roman"/>
                      <w:sz w:val="20"/>
                      <w:szCs w:val="20"/>
                    </w:rPr>
                  </w:pPr>
                  <w:sdt>
                    <w:sdtPr>
                      <w:rPr>
                        <w:rFonts w:ascii="MS Gothic" w:eastAsia="MS Gothic" w:hAnsi="MS Gothic"/>
                      </w:rPr>
                      <w:id w:val="-1065567421"/>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824081" w:rsidRPr="00E549A4" w14:paraId="28E1AB64" w14:textId="77777777" w:rsidTr="0007262E">
              <w:tc>
                <w:tcPr>
                  <w:tcW w:w="4027" w:type="dxa"/>
                </w:tcPr>
                <w:p w14:paraId="1664731D" w14:textId="122D5B1F" w:rsidR="00824081" w:rsidRPr="00E549A4" w:rsidRDefault="00824081" w:rsidP="00824081">
                  <w:pPr>
                    <w:rPr>
                      <w:rFonts w:ascii="Calibri" w:eastAsia="Times New Roman" w:hAnsi="Calibri" w:cs="Times New Roman"/>
                      <w:sz w:val="20"/>
                      <w:szCs w:val="20"/>
                    </w:rPr>
                  </w:pPr>
                  <w:r w:rsidRPr="00E549A4">
                    <w:rPr>
                      <w:rFonts w:ascii="Calibri" w:eastAsia="Times New Roman" w:hAnsi="Calibri" w:cs="Times New Roman"/>
                      <w:b/>
                      <w:bCs/>
                      <w:sz w:val="20"/>
                      <w:szCs w:val="20"/>
                      <w:lang w:val="es"/>
                    </w:rPr>
                    <w:t xml:space="preserve">Elizabeth </w:t>
                  </w:r>
                  <w:proofErr w:type="spellStart"/>
                  <w:r w:rsidRPr="00E549A4">
                    <w:rPr>
                      <w:rFonts w:ascii="Calibri" w:eastAsia="Times New Roman" w:hAnsi="Calibri" w:cs="Times New Roman"/>
                      <w:b/>
                      <w:bCs/>
                      <w:sz w:val="20"/>
                      <w:szCs w:val="20"/>
                      <w:lang w:val="es"/>
                    </w:rPr>
                    <w:t>Crutsinger</w:t>
                  </w:r>
                  <w:proofErr w:type="spellEnd"/>
                  <w:r w:rsidRPr="00E549A4">
                    <w:rPr>
                      <w:rFonts w:ascii="Calibri" w:eastAsia="Times New Roman" w:hAnsi="Calibri" w:cs="Times New Roman"/>
                      <w:b/>
                      <w:bCs/>
                      <w:sz w:val="20"/>
                      <w:szCs w:val="20"/>
                      <w:lang w:val="es"/>
                    </w:rPr>
                    <w:t>-Perry</w:t>
                  </w:r>
                  <w:r w:rsidRPr="00E549A4">
                    <w:rPr>
                      <w:rFonts w:ascii="Calibri" w:eastAsia="Times New Roman" w:hAnsi="Calibri" w:cs="Times New Roman"/>
                      <w:sz w:val="20"/>
                      <w:szCs w:val="20"/>
                      <w:lang w:val="es"/>
                    </w:rPr>
                    <w:tab/>
                  </w:r>
                </w:p>
              </w:tc>
              <w:tc>
                <w:tcPr>
                  <w:tcW w:w="1166" w:type="dxa"/>
                </w:tcPr>
                <w:p w14:paraId="26A0D9C2" w14:textId="2A52B0DB" w:rsidR="00824081" w:rsidRPr="00E549A4" w:rsidRDefault="00116F3D" w:rsidP="00824081">
                  <w:sdt>
                    <w:sdtPr>
                      <w:id w:val="-1505972410"/>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03CEA020" w14:textId="3D124270" w:rsidR="00824081" w:rsidRPr="00E549A4" w:rsidRDefault="00116F3D" w:rsidP="00824081">
                  <w:sdt>
                    <w:sdtPr>
                      <w:rPr>
                        <w:rFonts w:ascii="MS Gothic" w:eastAsia="MS Gothic" w:hAnsi="MS Gothic"/>
                      </w:rPr>
                      <w:id w:val="-1511748179"/>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r w:rsidR="00BC51F5" w:rsidRPr="00E549A4" w14:paraId="2836DF73" w14:textId="77777777" w:rsidTr="007036E7">
              <w:tc>
                <w:tcPr>
                  <w:tcW w:w="4027" w:type="dxa"/>
                </w:tcPr>
                <w:p w14:paraId="66D7814F" w14:textId="1C54B547" w:rsidR="00BC51F5" w:rsidRPr="00E549A4" w:rsidRDefault="00CD50AF" w:rsidP="00BC51F5">
                  <w:pPr>
                    <w:rPr>
                      <w:rFonts w:ascii="Calibri" w:eastAsia="Times New Roman" w:hAnsi="Calibri" w:cs="Times New Roman"/>
                      <w:sz w:val="20"/>
                      <w:szCs w:val="20"/>
                    </w:rPr>
                  </w:pPr>
                  <w:r w:rsidRPr="00E549A4">
                    <w:rPr>
                      <w:rFonts w:ascii="Calibri" w:eastAsia="Times New Roman" w:hAnsi="Calibri" w:cs="Times New Roman"/>
                      <w:sz w:val="20"/>
                      <w:szCs w:val="20"/>
                      <w:lang w:val="es"/>
                    </w:rPr>
                    <w:t>Terrance Jackson</w:t>
                  </w:r>
                </w:p>
              </w:tc>
              <w:tc>
                <w:tcPr>
                  <w:tcW w:w="1166" w:type="dxa"/>
                </w:tcPr>
                <w:p w14:paraId="74889E9E" w14:textId="3DBB73EF" w:rsidR="00BC51F5" w:rsidRPr="00E549A4" w:rsidRDefault="00116F3D" w:rsidP="00BC51F5">
                  <w:sdt>
                    <w:sdtPr>
                      <w:id w:val="17907119"/>
                      <w15:color w:val="66FF33"/>
                      <w14:checkbox>
                        <w14:checked w14:val="1"/>
                        <w14:checkedState w14:val="00FC" w14:font="Wingdings"/>
                        <w14:uncheckedState w14:val="2610" w14:font="MS Gothic"/>
                      </w14:checkbox>
                    </w:sdtPr>
                    <w:sdtEndPr/>
                    <w:sdtContent>
                      <w:r w:rsidR="00415FE3" w:rsidRPr="00E549A4">
                        <w:rPr>
                          <w:lang w:val="es"/>
                        </w:rPr>
                        <w:sym w:font="Wingdings" w:char="F0FC"/>
                      </w:r>
                    </w:sdtContent>
                  </w:sdt>
                </w:p>
              </w:tc>
              <w:tc>
                <w:tcPr>
                  <w:tcW w:w="1166" w:type="dxa"/>
                </w:tcPr>
                <w:p w14:paraId="383A1B52" w14:textId="2A0EE749" w:rsidR="00BC51F5" w:rsidRPr="00E549A4" w:rsidRDefault="00116F3D" w:rsidP="00BC51F5">
                  <w:sdt>
                    <w:sdtPr>
                      <w:rPr>
                        <w:rFonts w:ascii="MS Gothic" w:eastAsia="MS Gothic" w:hAnsi="MS Gothic"/>
                      </w:rPr>
                      <w:id w:val="18287042"/>
                      <w15:color w:val="66FF33"/>
                      <w14:checkbox>
                        <w14:checked w14:val="0"/>
                        <w14:checkedState w14:val="00FC" w14:font="Wingdings"/>
                        <w14:uncheckedState w14:val="2610" w14:font="MS Gothic"/>
                      </w14:checkbox>
                    </w:sdtPr>
                    <w:sdtEndPr/>
                    <w:sdtContent>
                      <w:r w:rsidR="00415FE3" w:rsidRPr="00E549A4">
                        <w:rPr>
                          <w:rFonts w:ascii="MS Gothic" w:eastAsia="MS Gothic" w:hAnsi="MS Gothic"/>
                          <w:lang w:val="es"/>
                        </w:rPr>
                        <w:t>☐</w:t>
                      </w:r>
                    </w:sdtContent>
                  </w:sdt>
                </w:p>
              </w:tc>
            </w:tr>
          </w:tbl>
          <w:p w14:paraId="32D69469" w14:textId="77777777" w:rsidR="000B4BB5" w:rsidRPr="00E549A4" w:rsidRDefault="000B4BB5" w:rsidP="00F00DBB">
            <w:pPr>
              <w:rPr>
                <w:rFonts w:ascii="Calibri" w:eastAsia="Times New Roman" w:hAnsi="Calibri" w:cs="Times New Roman"/>
                <w:b/>
                <w:bCs/>
                <w:sz w:val="20"/>
                <w:szCs w:val="20"/>
              </w:rPr>
            </w:pPr>
          </w:p>
        </w:tc>
      </w:tr>
    </w:tbl>
    <w:p w14:paraId="54E476BC" w14:textId="77777777" w:rsidR="000B4BB5" w:rsidRPr="00E549A4" w:rsidRDefault="000B4BB5" w:rsidP="00F00DBB">
      <w:pPr>
        <w:spacing w:after="0" w:line="240" w:lineRule="auto"/>
        <w:rPr>
          <w:rFonts w:ascii="Calibri" w:eastAsia="Times New Roman" w:hAnsi="Calibri" w:cs="Times New Roman"/>
          <w:b/>
          <w:bCs/>
          <w:sz w:val="20"/>
          <w:szCs w:val="20"/>
        </w:rPr>
      </w:pPr>
    </w:p>
    <w:p w14:paraId="0C25A774" w14:textId="0AA596B2" w:rsidR="009F7C84" w:rsidRPr="00E549A4" w:rsidRDefault="009F7C84" w:rsidP="008A62DF">
      <w:p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b/>
          <w:bCs/>
          <w:sz w:val="20"/>
          <w:szCs w:val="20"/>
          <w:lang w:val="es"/>
        </w:rPr>
        <w:t xml:space="preserve">MIEMBROS DEL PERSONAL DE APOYO DEL DOH (POR SU SIGLA EN INGLÉS, DEPARTAMENTO DE SALUD DEL ESTADO DE WASHINGTON) QUE ESTUVIERON PRESENTES:  </w:t>
      </w:r>
      <w:proofErr w:type="spellStart"/>
      <w:r w:rsidRPr="00E549A4">
        <w:rPr>
          <w:rFonts w:ascii="Calibri" w:eastAsia="Times New Roman" w:hAnsi="Calibri" w:cs="Times New Roman"/>
          <w:sz w:val="20"/>
          <w:szCs w:val="20"/>
          <w:lang w:val="es"/>
        </w:rPr>
        <w:t>Starleen</w:t>
      </w:r>
      <w:proofErr w:type="spellEnd"/>
      <w:r w:rsidRPr="00E549A4">
        <w:rPr>
          <w:rFonts w:ascii="Calibri" w:eastAsia="Times New Roman" w:hAnsi="Calibri" w:cs="Times New Roman"/>
          <w:sz w:val="20"/>
          <w:szCs w:val="20"/>
          <w:lang w:val="es"/>
        </w:rPr>
        <w:t xml:space="preserve"> </w:t>
      </w:r>
      <w:proofErr w:type="spellStart"/>
      <w:r w:rsidRPr="00E549A4">
        <w:rPr>
          <w:rFonts w:ascii="Calibri" w:eastAsia="Times New Roman" w:hAnsi="Calibri" w:cs="Times New Roman"/>
          <w:sz w:val="20"/>
          <w:szCs w:val="20"/>
          <w:lang w:val="es"/>
        </w:rPr>
        <w:t>Maharaj</w:t>
      </w:r>
      <w:proofErr w:type="spellEnd"/>
      <w:r w:rsidRPr="00E549A4">
        <w:rPr>
          <w:rFonts w:ascii="Calibri" w:eastAsia="Times New Roman" w:hAnsi="Calibri" w:cs="Times New Roman"/>
          <w:sz w:val="20"/>
          <w:szCs w:val="20"/>
          <w:lang w:val="es"/>
        </w:rPr>
        <w:t xml:space="preserve">-Lewis, Shana Ferguson, Genee Grimmett, Vanessa </w:t>
      </w:r>
      <w:proofErr w:type="spellStart"/>
      <w:r w:rsidRPr="00E549A4">
        <w:rPr>
          <w:rFonts w:ascii="Calibri" w:eastAsia="Times New Roman" w:hAnsi="Calibri" w:cs="Times New Roman"/>
          <w:sz w:val="20"/>
          <w:szCs w:val="20"/>
          <w:lang w:val="es"/>
        </w:rPr>
        <w:t>Grandberry</w:t>
      </w:r>
      <w:proofErr w:type="spellEnd"/>
    </w:p>
    <w:p w14:paraId="0CEC1BEF" w14:textId="57440A48" w:rsidR="009F7C84" w:rsidRPr="00E549A4" w:rsidRDefault="009F7C84" w:rsidP="008A62DF">
      <w:pPr>
        <w:spacing w:after="0" w:line="240" w:lineRule="auto"/>
        <w:rPr>
          <w:rFonts w:ascii="Calibri" w:eastAsia="Times New Roman" w:hAnsi="Calibri" w:cs="Times New Roman"/>
          <w:sz w:val="20"/>
          <w:szCs w:val="20"/>
          <w:lang w:val="es-ES"/>
        </w:rPr>
      </w:pPr>
      <w:bookmarkStart w:id="0" w:name="_Hlk120868011"/>
    </w:p>
    <w:bookmarkEnd w:id="0"/>
    <w:p w14:paraId="10323C17" w14:textId="77777777" w:rsidR="00F227DA" w:rsidRPr="00E549A4" w:rsidRDefault="00F227DA" w:rsidP="008A62DF">
      <w:pPr>
        <w:spacing w:after="0" w:line="240" w:lineRule="auto"/>
        <w:rPr>
          <w:rFonts w:ascii="Calibri" w:eastAsia="Times New Roman" w:hAnsi="Calibri" w:cs="Times New Roman"/>
          <w:sz w:val="20"/>
          <w:szCs w:val="20"/>
          <w:lang w:val="es-ES"/>
        </w:rPr>
      </w:pPr>
    </w:p>
    <w:p w14:paraId="1BD7050E" w14:textId="77777777" w:rsidR="00B13A9F" w:rsidRPr="00E549A4" w:rsidRDefault="00B13A9F" w:rsidP="00B13A9F">
      <w:pPr>
        <w:spacing w:after="0" w:line="240" w:lineRule="auto"/>
        <w:rPr>
          <w:rFonts w:ascii="Calibri" w:eastAsia="Times New Roman" w:hAnsi="Calibri" w:cs="Times New Roman"/>
          <w:sz w:val="20"/>
          <w:szCs w:val="20"/>
          <w:lang w:val="es-ES"/>
        </w:rPr>
      </w:pPr>
    </w:p>
    <w:tbl>
      <w:tblPr>
        <w:tblW w:w="127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440"/>
        <w:gridCol w:w="1507"/>
      </w:tblGrid>
      <w:tr w:rsidR="00CF41E4" w:rsidRPr="00E549A4" w14:paraId="01CCF23E" w14:textId="77777777" w:rsidTr="00CF41E4">
        <w:tc>
          <w:tcPr>
            <w:tcW w:w="1657" w:type="dxa"/>
            <w:shd w:val="clear" w:color="auto" w:fill="auto"/>
          </w:tcPr>
          <w:p w14:paraId="22E9BC0F" w14:textId="77777777" w:rsidR="00CF41E4" w:rsidRPr="00E549A4" w:rsidRDefault="00CF41E4" w:rsidP="00B13A9F">
            <w:pPr>
              <w:spacing w:after="0" w:line="240" w:lineRule="auto"/>
              <w:jc w:val="center"/>
              <w:rPr>
                <w:rFonts w:ascii="Calibri" w:eastAsia="Times New Roman" w:hAnsi="Calibri" w:cs="Arial"/>
                <w:b/>
                <w:sz w:val="20"/>
                <w:szCs w:val="20"/>
              </w:rPr>
            </w:pPr>
            <w:r w:rsidRPr="00E549A4">
              <w:rPr>
                <w:rFonts w:ascii="Calibri" w:eastAsia="Times New Roman" w:hAnsi="Calibri" w:cs="Arial"/>
                <w:b/>
                <w:bCs/>
                <w:sz w:val="20"/>
                <w:szCs w:val="20"/>
                <w:lang w:val="es"/>
              </w:rPr>
              <w:t>TEMA</w:t>
            </w:r>
          </w:p>
        </w:tc>
        <w:tc>
          <w:tcPr>
            <w:tcW w:w="8190" w:type="dxa"/>
            <w:shd w:val="clear" w:color="auto" w:fill="auto"/>
          </w:tcPr>
          <w:p w14:paraId="7BE05A58" w14:textId="77777777" w:rsidR="00CF41E4" w:rsidRPr="00E549A4" w:rsidRDefault="00CF41E4" w:rsidP="00B13A9F">
            <w:pPr>
              <w:spacing w:after="0" w:line="240" w:lineRule="auto"/>
              <w:jc w:val="center"/>
              <w:rPr>
                <w:rFonts w:ascii="Calibri" w:eastAsia="Times New Roman" w:hAnsi="Calibri" w:cs="Arial"/>
                <w:b/>
                <w:sz w:val="20"/>
                <w:szCs w:val="20"/>
              </w:rPr>
            </w:pPr>
            <w:r w:rsidRPr="00E549A4">
              <w:rPr>
                <w:rFonts w:ascii="Calibri" w:eastAsia="Times New Roman" w:hAnsi="Calibri" w:cs="Arial"/>
                <w:b/>
                <w:bCs/>
                <w:sz w:val="20"/>
                <w:szCs w:val="20"/>
                <w:lang w:val="es"/>
              </w:rPr>
              <w:t>HALLAZGOS, CONCLUSIONES Y RECOMENDACIONES</w:t>
            </w:r>
          </w:p>
        </w:tc>
        <w:tc>
          <w:tcPr>
            <w:tcW w:w="1440" w:type="dxa"/>
            <w:shd w:val="clear" w:color="auto" w:fill="auto"/>
          </w:tcPr>
          <w:p w14:paraId="68F6EC6F" w14:textId="394F678F" w:rsidR="00CF41E4" w:rsidRPr="00E549A4" w:rsidRDefault="00CF41E4" w:rsidP="00B13A9F">
            <w:pPr>
              <w:spacing w:after="0" w:line="240" w:lineRule="auto"/>
              <w:jc w:val="center"/>
              <w:rPr>
                <w:rFonts w:ascii="Calibri" w:eastAsia="Times New Roman" w:hAnsi="Calibri" w:cs="Arial"/>
                <w:b/>
                <w:sz w:val="20"/>
                <w:szCs w:val="20"/>
              </w:rPr>
            </w:pPr>
            <w:r w:rsidRPr="00E549A4">
              <w:rPr>
                <w:rFonts w:ascii="Calibri" w:eastAsia="Times New Roman" w:hAnsi="Calibri" w:cs="Arial"/>
                <w:b/>
                <w:bCs/>
                <w:sz w:val="20"/>
                <w:szCs w:val="20"/>
                <w:lang w:val="es"/>
              </w:rPr>
              <w:t>ACCIONES Y FECHAS LÍMITE</w:t>
            </w:r>
          </w:p>
        </w:tc>
        <w:tc>
          <w:tcPr>
            <w:tcW w:w="1507" w:type="dxa"/>
            <w:shd w:val="clear" w:color="auto" w:fill="auto"/>
          </w:tcPr>
          <w:p w14:paraId="63D951F0" w14:textId="77777777" w:rsidR="00CF41E4" w:rsidRPr="00E549A4" w:rsidRDefault="00CF41E4" w:rsidP="00B13A9F">
            <w:pPr>
              <w:spacing w:after="0" w:line="240" w:lineRule="auto"/>
              <w:jc w:val="center"/>
              <w:rPr>
                <w:rFonts w:ascii="Calibri" w:eastAsia="Times New Roman" w:hAnsi="Calibri" w:cs="Arial"/>
                <w:b/>
                <w:sz w:val="20"/>
                <w:szCs w:val="20"/>
              </w:rPr>
            </w:pPr>
            <w:r w:rsidRPr="00E549A4">
              <w:rPr>
                <w:rFonts w:ascii="Calibri" w:eastAsia="Times New Roman" w:hAnsi="Calibri" w:cs="Arial"/>
                <w:b/>
                <w:bCs/>
                <w:sz w:val="20"/>
                <w:szCs w:val="20"/>
                <w:lang w:val="es"/>
              </w:rPr>
              <w:t>PERSONA RESPONSABLE</w:t>
            </w:r>
          </w:p>
        </w:tc>
      </w:tr>
      <w:tr w:rsidR="00CF41E4" w:rsidRPr="00E549A4" w14:paraId="3D46C961" w14:textId="77777777" w:rsidTr="00CF41E4">
        <w:trPr>
          <w:trHeight w:val="917"/>
        </w:trPr>
        <w:tc>
          <w:tcPr>
            <w:tcW w:w="1657" w:type="dxa"/>
            <w:shd w:val="clear" w:color="auto" w:fill="auto"/>
          </w:tcPr>
          <w:p w14:paraId="2E75EA2C" w14:textId="4889E2A5" w:rsidR="00CF41E4" w:rsidRPr="00E549A4" w:rsidRDefault="00CF41E4" w:rsidP="00B13A9F">
            <w:p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t>I. Apertura y bienvenida de los tres copresidentes y verificación de listas y conexión (5 min)</w:t>
            </w:r>
          </w:p>
        </w:tc>
        <w:tc>
          <w:tcPr>
            <w:tcW w:w="8190" w:type="dxa"/>
            <w:shd w:val="clear" w:color="auto" w:fill="auto"/>
          </w:tcPr>
          <w:p w14:paraId="6F6195C5" w14:textId="673EA02A" w:rsidR="007572A6" w:rsidRPr="00E549A4" w:rsidRDefault="00BB0DAF" w:rsidP="00A1783A">
            <w:pPr>
              <w:pStyle w:val="ListParagraph"/>
              <w:numPr>
                <w:ilvl w:val="0"/>
                <w:numId w:val="1"/>
              </w:numPr>
              <w:spacing w:after="0" w:line="240" w:lineRule="auto"/>
              <w:rPr>
                <w:rFonts w:ascii="Calibri" w:eastAsia="Times New Roman" w:hAnsi="Calibri" w:cs="Times New Roman"/>
                <w:sz w:val="20"/>
                <w:szCs w:val="20"/>
              </w:rPr>
            </w:pPr>
            <w:r w:rsidRPr="00E549A4">
              <w:rPr>
                <w:rFonts w:ascii="Calibri" w:eastAsia="Times New Roman" w:hAnsi="Calibri" w:cs="Times New Roman"/>
                <w:sz w:val="20"/>
                <w:szCs w:val="20"/>
                <w:lang w:val="es"/>
              </w:rPr>
              <w:t>Apertura a las 6:02.</w:t>
            </w:r>
          </w:p>
          <w:p w14:paraId="1479982D" w14:textId="6893695C" w:rsidR="00BB0DAF" w:rsidRPr="00E549A4" w:rsidRDefault="00BB0DAF" w:rsidP="00A1783A">
            <w:pPr>
              <w:pStyle w:val="ListParagraph"/>
              <w:numPr>
                <w:ilvl w:val="0"/>
                <w:numId w:val="1"/>
              </w:numPr>
              <w:spacing w:after="0" w:line="240" w:lineRule="auto"/>
              <w:rPr>
                <w:rFonts w:ascii="Calibri" w:eastAsia="Times New Roman" w:hAnsi="Calibri" w:cs="Times New Roman"/>
                <w:sz w:val="20"/>
                <w:szCs w:val="20"/>
              </w:rPr>
            </w:pPr>
            <w:r w:rsidRPr="00E549A4">
              <w:rPr>
                <w:rFonts w:ascii="Calibri" w:eastAsia="Times New Roman" w:hAnsi="Calibri" w:cs="Times New Roman"/>
                <w:sz w:val="20"/>
                <w:szCs w:val="20"/>
                <w:lang w:val="es"/>
              </w:rPr>
              <w:t>Acuerdos comunitarios:</w:t>
            </w:r>
          </w:p>
          <w:p w14:paraId="07AD2004" w14:textId="1F82752E" w:rsidR="00AC39F7" w:rsidRPr="00E549A4" w:rsidRDefault="00AC39F7" w:rsidP="00A1783A">
            <w:pPr>
              <w:pStyle w:val="ListParagraph"/>
              <w:numPr>
                <w:ilvl w:val="0"/>
                <w:numId w:val="2"/>
              </w:numPr>
              <w:spacing w:after="0" w:line="240" w:lineRule="auto"/>
              <w:rPr>
                <w:rFonts w:ascii="Calibri" w:eastAsia="Times New Roman" w:hAnsi="Calibri" w:cs="Times New Roman"/>
                <w:sz w:val="20"/>
                <w:szCs w:val="20"/>
              </w:rPr>
            </w:pPr>
            <w:r w:rsidRPr="00E549A4">
              <w:rPr>
                <w:rFonts w:ascii="Calibri" w:eastAsia="Times New Roman" w:hAnsi="Calibri" w:cs="Times New Roman"/>
                <w:sz w:val="20"/>
                <w:szCs w:val="20"/>
                <w:lang w:val="es"/>
              </w:rPr>
              <w:t>Foco en la comunidad</w:t>
            </w:r>
          </w:p>
          <w:p w14:paraId="35DE3217" w14:textId="7933D2BE" w:rsidR="00AC39F7" w:rsidRPr="00E549A4" w:rsidRDefault="00AC39F7" w:rsidP="00A1783A">
            <w:pPr>
              <w:pStyle w:val="ListParagraph"/>
              <w:numPr>
                <w:ilvl w:val="0"/>
                <w:numId w:val="2"/>
              </w:numPr>
              <w:spacing w:after="0" w:line="240" w:lineRule="auto"/>
              <w:rPr>
                <w:rFonts w:ascii="Calibri" w:eastAsia="Times New Roman" w:hAnsi="Calibri" w:cs="Times New Roman"/>
                <w:sz w:val="20"/>
                <w:szCs w:val="20"/>
              </w:rPr>
            </w:pPr>
            <w:r w:rsidRPr="00E549A4">
              <w:rPr>
                <w:rFonts w:ascii="Calibri" w:eastAsia="Times New Roman" w:hAnsi="Calibri" w:cs="Times New Roman"/>
                <w:sz w:val="20"/>
                <w:szCs w:val="20"/>
                <w:lang w:val="es"/>
              </w:rPr>
              <w:t>Experimentar incomodidad</w:t>
            </w:r>
          </w:p>
          <w:p w14:paraId="3E4FC81E" w14:textId="41FFCB6E" w:rsidR="00AC39F7" w:rsidRPr="00E549A4" w:rsidRDefault="00AC39F7" w:rsidP="00A1783A">
            <w:pPr>
              <w:pStyle w:val="ListParagraph"/>
              <w:numPr>
                <w:ilvl w:val="0"/>
                <w:numId w:val="2"/>
              </w:num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t>Dejar las historias, quedarse con el aprendizaje</w:t>
            </w:r>
          </w:p>
          <w:p w14:paraId="6FED2538" w14:textId="2AA41495" w:rsidR="00AC39F7" w:rsidRPr="00E549A4" w:rsidRDefault="00AC39F7" w:rsidP="00A1783A">
            <w:pPr>
              <w:pStyle w:val="ListParagraph"/>
              <w:numPr>
                <w:ilvl w:val="0"/>
                <w:numId w:val="2"/>
              </w:numPr>
              <w:spacing w:after="0" w:line="240" w:lineRule="auto"/>
              <w:rPr>
                <w:rFonts w:ascii="Calibri" w:eastAsia="Times New Roman" w:hAnsi="Calibri" w:cs="Times New Roman"/>
                <w:sz w:val="20"/>
                <w:szCs w:val="20"/>
              </w:rPr>
            </w:pPr>
            <w:r w:rsidRPr="00E549A4">
              <w:rPr>
                <w:rFonts w:ascii="Calibri" w:eastAsia="Times New Roman" w:hAnsi="Calibri" w:cs="Times New Roman"/>
                <w:sz w:val="20"/>
                <w:szCs w:val="20"/>
                <w:lang w:val="es"/>
              </w:rPr>
              <w:t>Espacio para compartir</w:t>
            </w:r>
          </w:p>
          <w:p w14:paraId="375C1E7E" w14:textId="53526714" w:rsidR="00AC39F7" w:rsidRPr="00E549A4" w:rsidRDefault="00AC39F7" w:rsidP="00A1783A">
            <w:pPr>
              <w:pStyle w:val="ListParagraph"/>
              <w:numPr>
                <w:ilvl w:val="0"/>
                <w:numId w:val="2"/>
              </w:numPr>
              <w:spacing w:after="0" w:line="240" w:lineRule="auto"/>
              <w:rPr>
                <w:rFonts w:ascii="Calibri" w:eastAsia="Times New Roman" w:hAnsi="Calibri" w:cs="Times New Roman"/>
                <w:sz w:val="20"/>
                <w:szCs w:val="20"/>
              </w:rPr>
            </w:pPr>
            <w:r w:rsidRPr="00E549A4">
              <w:rPr>
                <w:rFonts w:ascii="Calibri" w:eastAsia="Times New Roman" w:hAnsi="Calibri" w:cs="Times New Roman"/>
                <w:sz w:val="20"/>
                <w:szCs w:val="20"/>
                <w:lang w:val="es"/>
              </w:rPr>
              <w:t>Reconocer su impacto</w:t>
            </w:r>
          </w:p>
          <w:p w14:paraId="67BA8F77" w14:textId="3455076D" w:rsidR="00AC39F7" w:rsidRPr="00E549A4" w:rsidRDefault="00AC39F7" w:rsidP="00A1783A">
            <w:pPr>
              <w:pStyle w:val="ListParagraph"/>
              <w:numPr>
                <w:ilvl w:val="0"/>
                <w:numId w:val="2"/>
              </w:numPr>
              <w:spacing w:after="0" w:line="240" w:lineRule="auto"/>
              <w:rPr>
                <w:rFonts w:ascii="Calibri" w:eastAsia="Times New Roman" w:hAnsi="Calibri" w:cs="Times New Roman"/>
                <w:sz w:val="20"/>
                <w:szCs w:val="20"/>
              </w:rPr>
            </w:pPr>
            <w:r w:rsidRPr="00E549A4">
              <w:rPr>
                <w:rFonts w:ascii="Calibri" w:eastAsia="Times New Roman" w:hAnsi="Calibri" w:cs="Times New Roman"/>
                <w:sz w:val="20"/>
                <w:szCs w:val="20"/>
                <w:lang w:val="es"/>
              </w:rPr>
              <w:t>Diferentes puntos de vista</w:t>
            </w:r>
          </w:p>
          <w:p w14:paraId="6020868A" w14:textId="56BD51A8" w:rsidR="00AC39F7" w:rsidRPr="00E549A4" w:rsidRDefault="00AC39F7" w:rsidP="00A1783A">
            <w:pPr>
              <w:pStyle w:val="ListParagraph"/>
              <w:numPr>
                <w:ilvl w:val="0"/>
                <w:numId w:val="2"/>
              </w:num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t>Enunciados que empiezan con “Yo”</w:t>
            </w:r>
          </w:p>
          <w:p w14:paraId="6E64CBD7" w14:textId="67E8BEC9" w:rsidR="00AC39F7" w:rsidRPr="00E549A4" w:rsidRDefault="00AC39F7" w:rsidP="00A1783A">
            <w:pPr>
              <w:pStyle w:val="ListParagraph"/>
              <w:numPr>
                <w:ilvl w:val="0"/>
                <w:numId w:val="2"/>
              </w:num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t>Esperar y aceptar el no cierre</w:t>
            </w:r>
          </w:p>
          <w:p w14:paraId="7CA575EC" w14:textId="6CC89D12" w:rsidR="00BB0DAF" w:rsidRPr="00E549A4" w:rsidRDefault="00BB0DAF" w:rsidP="00BB0DAF">
            <w:pPr>
              <w:spacing w:after="0" w:line="240" w:lineRule="auto"/>
              <w:rPr>
                <w:rFonts w:ascii="Calibri" w:eastAsia="Times New Roman" w:hAnsi="Calibri" w:cs="Times New Roman"/>
                <w:sz w:val="20"/>
                <w:szCs w:val="20"/>
                <w:lang w:val="es-ES"/>
              </w:rPr>
            </w:pPr>
          </w:p>
        </w:tc>
        <w:tc>
          <w:tcPr>
            <w:tcW w:w="1440" w:type="dxa"/>
            <w:shd w:val="clear" w:color="auto" w:fill="auto"/>
          </w:tcPr>
          <w:p w14:paraId="72A9CAB4" w14:textId="3B15FBE4" w:rsidR="00CF41E4" w:rsidRPr="00E549A4" w:rsidRDefault="00CF41E4" w:rsidP="00B13A9F">
            <w:pPr>
              <w:spacing w:after="0" w:line="240" w:lineRule="auto"/>
              <w:jc w:val="center"/>
              <w:rPr>
                <w:rFonts w:ascii="Calibri" w:eastAsia="Times New Roman" w:hAnsi="Calibri" w:cs="Times New Roman"/>
                <w:sz w:val="20"/>
                <w:szCs w:val="20"/>
                <w:lang w:val="es-ES"/>
              </w:rPr>
            </w:pPr>
          </w:p>
        </w:tc>
        <w:tc>
          <w:tcPr>
            <w:tcW w:w="1507" w:type="dxa"/>
            <w:shd w:val="clear" w:color="auto" w:fill="auto"/>
          </w:tcPr>
          <w:p w14:paraId="76D251D9" w14:textId="3ED63758" w:rsidR="00CF41E4" w:rsidRPr="00E549A4" w:rsidRDefault="00CF41E4" w:rsidP="00B13A9F">
            <w:pPr>
              <w:spacing w:after="0" w:line="240" w:lineRule="auto"/>
              <w:jc w:val="center"/>
              <w:rPr>
                <w:rFonts w:ascii="Calibri" w:eastAsia="Times New Roman" w:hAnsi="Calibri" w:cs="Times New Roman"/>
                <w:sz w:val="20"/>
                <w:szCs w:val="20"/>
                <w:lang w:val="es-ES"/>
              </w:rPr>
            </w:pPr>
          </w:p>
        </w:tc>
      </w:tr>
      <w:tr w:rsidR="00CF41E4" w:rsidRPr="00E549A4" w14:paraId="03D46885" w14:textId="77777777" w:rsidTr="00CF41E4">
        <w:trPr>
          <w:trHeight w:val="530"/>
        </w:trPr>
        <w:tc>
          <w:tcPr>
            <w:tcW w:w="1657" w:type="dxa"/>
            <w:shd w:val="clear" w:color="auto" w:fill="auto"/>
          </w:tcPr>
          <w:p w14:paraId="3BA2CAF8" w14:textId="7B99A9EB" w:rsidR="00CF41E4" w:rsidRPr="00E549A4" w:rsidRDefault="00CF41E4" w:rsidP="00B13A9F">
            <w:pPr>
              <w:spacing w:after="0" w:line="240" w:lineRule="auto"/>
              <w:rPr>
                <w:rFonts w:ascii="Calibri" w:eastAsia="Times New Roman" w:hAnsi="Calibri" w:cs="Times New Roman"/>
                <w:sz w:val="20"/>
                <w:szCs w:val="20"/>
                <w:lang w:val="es-ES"/>
              </w:rPr>
            </w:pPr>
            <w:r w:rsidRPr="00E549A4">
              <w:rPr>
                <w:rFonts w:ascii="Calibri" w:eastAsia="Times New Roman" w:hAnsi="Calibri"/>
                <w:sz w:val="20"/>
                <w:szCs w:val="20"/>
                <w:lang w:val="es"/>
              </w:rPr>
              <w:t>II. Actualizaciones del WSPG para el DOH o el WSPG (35 min)</w:t>
            </w:r>
          </w:p>
        </w:tc>
        <w:tc>
          <w:tcPr>
            <w:tcW w:w="8190" w:type="dxa"/>
            <w:shd w:val="clear" w:color="auto" w:fill="auto"/>
          </w:tcPr>
          <w:p w14:paraId="33207379" w14:textId="6B5A3FA4" w:rsidR="00AC39F7" w:rsidRPr="00E549A4" w:rsidRDefault="00BB0DAF" w:rsidP="00A1783A">
            <w:pPr>
              <w:pStyle w:val="ListParagraph"/>
              <w:numPr>
                <w:ilvl w:val="0"/>
                <w:numId w:val="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Karlos Johnson: Conceptos básicos sobre la CQM (por su sigla en inglés, gestión de la calidad clínica) – Infraestructura para la gestión de la calidad:</w:t>
            </w:r>
          </w:p>
          <w:p w14:paraId="6168B399" w14:textId="5356FC6E" w:rsidR="00AC39F7" w:rsidRPr="00E549A4" w:rsidRDefault="00AC39F7" w:rsidP="00A1783A">
            <w:pPr>
              <w:pStyle w:val="ListParagraph"/>
              <w:numPr>
                <w:ilvl w:val="0"/>
                <w:numId w:val="4"/>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Objetivos de aprendizaje:</w:t>
            </w:r>
          </w:p>
          <w:p w14:paraId="490C95AF" w14:textId="1F590CB6" w:rsidR="00AC39F7" w:rsidRPr="00E549A4" w:rsidRDefault="00AC39F7" w:rsidP="00A1783A">
            <w:pPr>
              <w:pStyle w:val="ListParagraph"/>
              <w:numPr>
                <w:ilvl w:val="0"/>
                <w:numId w:val="5"/>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Explicar las nociones básicas sobre el objetivo del Programa de Gestión de la Calidad Clínica.</w:t>
            </w:r>
          </w:p>
          <w:p w14:paraId="3AC68774" w14:textId="35516E2E" w:rsidR="00AC39F7" w:rsidRPr="00E549A4" w:rsidRDefault="00AC39F7" w:rsidP="00A1783A">
            <w:pPr>
              <w:pStyle w:val="ListParagraph"/>
              <w:numPr>
                <w:ilvl w:val="0"/>
                <w:numId w:val="5"/>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Identificar una de las tres áreas de impacto relacionadas con la implementación de los principios de gestión de la calidad clínica. </w:t>
            </w:r>
          </w:p>
          <w:p w14:paraId="5F526751" w14:textId="02038CE2" w:rsidR="00CE66D6" w:rsidRPr="00E549A4" w:rsidRDefault="00CE66D6"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Aviso de aclaración de la política de CQM 15-02:</w:t>
            </w:r>
          </w:p>
          <w:p w14:paraId="36964807" w14:textId="54370F4A" w:rsidR="00AC39F7" w:rsidRPr="00E549A4" w:rsidRDefault="00AC39F7" w:rsidP="00A1783A">
            <w:pPr>
              <w:pStyle w:val="ListParagraph"/>
              <w:numPr>
                <w:ilvl w:val="0"/>
                <w:numId w:val="6"/>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Propósito: El objetivo del aviso de aclaración de la política (PCN, por su sigla en inglés) es esclarecer las expectativas del Programa Ryan White sobre VIH/SIDA (RWHAP, por su sigla en inglés) de la Administración de Recursos y Servicios para la Salud para los programas de gestión de la calidad clínica. Los beneficiarios del programa RWHAP son responsables de trabajar directamente con los beneficiarios secundarios para proporcionar orientación general y para implementar, revisar e intercambiar toda la información necesaria para medir los datos de desempeño o las actividades de mejora de la calidad.</w:t>
            </w:r>
          </w:p>
          <w:p w14:paraId="0C599133" w14:textId="25FBF882" w:rsidR="00CE66D6" w:rsidRPr="00E549A4" w:rsidRDefault="00CE66D6" w:rsidP="00A1783A">
            <w:pPr>
              <w:pStyle w:val="ListParagraph"/>
              <w:numPr>
                <w:ilvl w:val="0"/>
                <w:numId w:val="6"/>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Alcance de la cobertura: Partes A, B, C y D del RWHAP: destinatarios y </w:t>
            </w:r>
            <w:proofErr w:type="spellStart"/>
            <w:r w:rsidRPr="00E549A4">
              <w:rPr>
                <w:rFonts w:ascii="Calibri" w:eastAsia="Times New Roman" w:hAnsi="Calibri" w:cs="Calibri"/>
                <w:sz w:val="20"/>
                <w:szCs w:val="20"/>
                <w:lang w:val="es"/>
              </w:rPr>
              <w:t>subdestinatarios</w:t>
            </w:r>
            <w:proofErr w:type="spellEnd"/>
            <w:r w:rsidRPr="00E549A4">
              <w:rPr>
                <w:rFonts w:ascii="Calibri" w:eastAsia="Times New Roman" w:hAnsi="Calibri" w:cs="Calibri"/>
                <w:sz w:val="20"/>
                <w:szCs w:val="20"/>
                <w:lang w:val="es"/>
              </w:rPr>
              <w:t>.</w:t>
            </w:r>
          </w:p>
          <w:p w14:paraId="393AA74D" w14:textId="038C454A" w:rsidR="00CE66D6" w:rsidRPr="00E549A4" w:rsidRDefault="00CE66D6"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Gestión y mejora de la calidad:</w:t>
            </w:r>
          </w:p>
          <w:p w14:paraId="505D8C9B" w14:textId="6929B092" w:rsidR="00CE66D6" w:rsidRPr="00E549A4" w:rsidRDefault="00CE66D6" w:rsidP="00A1783A">
            <w:pPr>
              <w:pStyle w:val="ListParagraph"/>
              <w:numPr>
                <w:ilvl w:val="0"/>
                <w:numId w:val="7"/>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Participación comunitaria</w:t>
            </w:r>
          </w:p>
          <w:p w14:paraId="246F1371" w14:textId="29696222" w:rsidR="00CE66D6" w:rsidRPr="00E549A4" w:rsidRDefault="00CE66D6" w:rsidP="00A1783A">
            <w:pPr>
              <w:pStyle w:val="ListParagraph"/>
              <w:numPr>
                <w:ilvl w:val="0"/>
                <w:numId w:val="7"/>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Satisfacción del cliente</w:t>
            </w:r>
          </w:p>
          <w:p w14:paraId="4A6D038D" w14:textId="12C1704A" w:rsidR="00CE66D6" w:rsidRPr="00E549A4" w:rsidRDefault="00CE66D6" w:rsidP="00A1783A">
            <w:pPr>
              <w:pStyle w:val="ListParagraph"/>
              <w:numPr>
                <w:ilvl w:val="0"/>
                <w:numId w:val="7"/>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lastRenderedPageBreak/>
              <w:t>Calidad de los datos</w:t>
            </w:r>
          </w:p>
          <w:p w14:paraId="13648782" w14:textId="79EA4A96" w:rsidR="00CE66D6" w:rsidRPr="00E549A4" w:rsidRDefault="00CE66D6" w:rsidP="00A1783A">
            <w:pPr>
              <w:pStyle w:val="ListParagraph"/>
              <w:numPr>
                <w:ilvl w:val="0"/>
                <w:numId w:val="7"/>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Infraestructura</w:t>
            </w:r>
          </w:p>
          <w:p w14:paraId="1F0E14D5" w14:textId="002FB001" w:rsidR="00CE66D6" w:rsidRPr="00E549A4" w:rsidRDefault="00CE66D6" w:rsidP="00A1783A">
            <w:pPr>
              <w:pStyle w:val="ListParagraph"/>
              <w:numPr>
                <w:ilvl w:val="0"/>
                <w:numId w:val="4"/>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Infraestructura del programa de CQM</w:t>
            </w:r>
          </w:p>
          <w:p w14:paraId="7E8C5003" w14:textId="6ABD6825" w:rsidR="00CE66D6" w:rsidRPr="00E549A4" w:rsidRDefault="00CE66D6" w:rsidP="00A1783A">
            <w:pPr>
              <w:pStyle w:val="ListParagraph"/>
              <w:numPr>
                <w:ilvl w:val="0"/>
                <w:numId w:val="8"/>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 xml:space="preserve">Características de CQM: </w:t>
            </w:r>
          </w:p>
          <w:p w14:paraId="6A28BEF8" w14:textId="2972DC38" w:rsidR="00CE66D6" w:rsidRPr="00E549A4" w:rsidRDefault="00CE66D6" w:rsidP="00A1783A">
            <w:pPr>
              <w:pStyle w:val="ListParagraph"/>
              <w:numPr>
                <w:ilvl w:val="0"/>
                <w:numId w:val="9"/>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Se centra en la mejora.</w:t>
            </w:r>
          </w:p>
          <w:p w14:paraId="102AB1D5" w14:textId="7F5BE1FC" w:rsidR="00CE66D6" w:rsidRPr="00E549A4" w:rsidRDefault="00CE66D6" w:rsidP="00A1783A">
            <w:pPr>
              <w:pStyle w:val="ListParagraph"/>
              <w:numPr>
                <w:ilvl w:val="0"/>
                <w:numId w:val="9"/>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Usa datos, comentarios de clientes y objetivos de la agencia.</w:t>
            </w:r>
          </w:p>
          <w:p w14:paraId="36A25088" w14:textId="28E15C96" w:rsidR="00CE66D6" w:rsidRPr="00E549A4" w:rsidRDefault="00CE66D6" w:rsidP="00A1783A">
            <w:pPr>
              <w:pStyle w:val="ListParagraph"/>
              <w:numPr>
                <w:ilvl w:val="0"/>
                <w:numId w:val="9"/>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Proyectos de mejora de la calidad.</w:t>
            </w:r>
          </w:p>
          <w:p w14:paraId="504D70B1" w14:textId="269AC4BF" w:rsidR="00CE66D6" w:rsidRPr="00E549A4" w:rsidRDefault="00CE66D6" w:rsidP="00A1783A">
            <w:pPr>
              <w:pStyle w:val="ListParagraph"/>
              <w:numPr>
                <w:ilvl w:val="0"/>
                <w:numId w:val="8"/>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CQM no es lo siguiente:</w:t>
            </w:r>
          </w:p>
          <w:p w14:paraId="6CF2F728" w14:textId="4F71FF92" w:rsidR="00CE66D6" w:rsidRPr="00E549A4" w:rsidRDefault="00CE66D6" w:rsidP="00A1783A">
            <w:pPr>
              <w:pStyle w:val="ListParagraph"/>
              <w:numPr>
                <w:ilvl w:val="0"/>
                <w:numId w:val="10"/>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Administración de subvenciones</w:t>
            </w:r>
          </w:p>
          <w:p w14:paraId="3E3C784F" w14:textId="3AE5EA8F" w:rsidR="00CE66D6" w:rsidRPr="00E549A4" w:rsidRDefault="00CE66D6" w:rsidP="00A1783A">
            <w:pPr>
              <w:pStyle w:val="ListParagraph"/>
              <w:numPr>
                <w:ilvl w:val="0"/>
                <w:numId w:val="10"/>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Control de calidad</w:t>
            </w:r>
          </w:p>
          <w:p w14:paraId="1D72D2F3" w14:textId="4738B856" w:rsidR="00CE66D6" w:rsidRPr="00E549A4" w:rsidRDefault="00CE66D6" w:rsidP="00A1783A">
            <w:pPr>
              <w:pStyle w:val="ListParagraph"/>
              <w:numPr>
                <w:ilvl w:val="0"/>
                <w:numId w:val="10"/>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Indicador de desempeño independiente</w:t>
            </w:r>
          </w:p>
          <w:p w14:paraId="593CB3C6" w14:textId="4AA9E69D" w:rsidR="00CE66D6" w:rsidRPr="00E549A4" w:rsidRDefault="00CE66D6"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Resumen del Programa de Gestión de la Calidad Clínica (CQM)</w:t>
            </w:r>
          </w:p>
          <w:p w14:paraId="0AD692D2" w14:textId="27108A61" w:rsidR="0079692B" w:rsidRPr="00E549A4" w:rsidRDefault="00CE66D6" w:rsidP="00A1783A">
            <w:pPr>
              <w:pStyle w:val="ListParagraph"/>
              <w:numPr>
                <w:ilvl w:val="0"/>
                <w:numId w:val="8"/>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El Programa de CQM se estableció para el trabajo colaborativo con el Programa de Servicios para la Comunidad con VIH de la Parte B de Ryan White a fin de facilitar la implementación de los servicios. En consecuencia, el uso de los principios de CQM puede mejorar la atención al paciente, su satisfacción y los resultados de salud.</w:t>
            </w:r>
          </w:p>
          <w:p w14:paraId="06125677" w14:textId="162F18AB" w:rsidR="00CE66D6" w:rsidRPr="00E549A4" w:rsidRDefault="0079692B" w:rsidP="00A1783A">
            <w:pPr>
              <w:pStyle w:val="ListParagraph"/>
              <w:numPr>
                <w:ilvl w:val="0"/>
                <w:numId w:val="8"/>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Además, la gestión o mejora de la calidad (QI/QM, por su sigla en inglés) se pueden usar como herramientas de evaluación para medir la efectividad y fomentar el cambio. </w:t>
            </w:r>
          </w:p>
          <w:p w14:paraId="7FE95366" w14:textId="5B218C34" w:rsidR="0079692B" w:rsidRPr="00E549A4" w:rsidRDefault="0079692B"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Herramientas de mejora del Programa de CQM:</w:t>
            </w:r>
          </w:p>
          <w:p w14:paraId="493D25E3" w14:textId="67C23E73" w:rsidR="0079692B" w:rsidRPr="00E549A4" w:rsidRDefault="0079692B" w:rsidP="00A1783A">
            <w:pPr>
              <w:pStyle w:val="ListParagraph"/>
              <w:numPr>
                <w:ilvl w:val="0"/>
                <w:numId w:val="11"/>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Participación y satisfacción del cliente</w:t>
            </w:r>
          </w:p>
          <w:p w14:paraId="11B19D72" w14:textId="614EDA18" w:rsidR="0079692B" w:rsidRPr="00E549A4" w:rsidRDefault="0079692B" w:rsidP="00A1783A">
            <w:pPr>
              <w:pStyle w:val="ListParagraph"/>
              <w:numPr>
                <w:ilvl w:val="0"/>
                <w:numId w:val="11"/>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Infraestructura de la agencia (revisiones o actualizaciones)</w:t>
            </w:r>
          </w:p>
          <w:p w14:paraId="2495371D" w14:textId="254B75C9" w:rsidR="0079692B" w:rsidRPr="00E549A4" w:rsidRDefault="0079692B" w:rsidP="00A1783A">
            <w:pPr>
              <w:pStyle w:val="ListParagraph"/>
              <w:numPr>
                <w:ilvl w:val="0"/>
                <w:numId w:val="11"/>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Puntos de referencia y metas para la medición del desempeño</w:t>
            </w:r>
          </w:p>
          <w:p w14:paraId="1F3D4C82" w14:textId="6EDFB878" w:rsidR="0079692B" w:rsidRPr="00E549A4" w:rsidRDefault="0079692B" w:rsidP="00A1783A">
            <w:pPr>
              <w:pStyle w:val="ListParagraph"/>
              <w:numPr>
                <w:ilvl w:val="0"/>
                <w:numId w:val="11"/>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Actividades de QI/QM</w:t>
            </w:r>
          </w:p>
          <w:p w14:paraId="0E84726A" w14:textId="1EA0F30B" w:rsidR="0079692B" w:rsidRPr="00E549A4" w:rsidRDefault="0079692B" w:rsidP="00A1783A">
            <w:pPr>
              <w:pStyle w:val="ListParagraph"/>
              <w:numPr>
                <w:ilvl w:val="0"/>
                <w:numId w:val="11"/>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Plan de acción o trabajo con un cronograma y partes responsables</w:t>
            </w:r>
          </w:p>
          <w:p w14:paraId="41DD3F41" w14:textId="3A0CC0F5" w:rsidR="0079692B" w:rsidRPr="00E549A4" w:rsidRDefault="0079692B" w:rsidP="00A1783A">
            <w:pPr>
              <w:pStyle w:val="ListParagraph"/>
              <w:numPr>
                <w:ilvl w:val="0"/>
                <w:numId w:val="11"/>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Evaluación de procesos y procedimientos</w:t>
            </w:r>
          </w:p>
          <w:p w14:paraId="1AD2CFFE" w14:textId="78A222DC" w:rsidR="0079692B" w:rsidRPr="00E549A4" w:rsidRDefault="0079692B"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CQM y WSPG: Objetivos integrados:</w:t>
            </w:r>
          </w:p>
          <w:p w14:paraId="02B1396F" w14:textId="070940E1" w:rsidR="0079692B" w:rsidRPr="00E549A4" w:rsidRDefault="0079692B" w:rsidP="00A1783A">
            <w:pPr>
              <w:pStyle w:val="ListParagraph"/>
              <w:numPr>
                <w:ilvl w:val="0"/>
                <w:numId w:val="12"/>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Objetivo 2: Respaldar a las organizaciones para que creen un memorando de entendimiento (MOU, por su sigla en inglés) regional, robusto y de servicio completo.</w:t>
            </w:r>
          </w:p>
          <w:p w14:paraId="2D11C195" w14:textId="6340169C" w:rsidR="0079692B" w:rsidRPr="00E549A4" w:rsidRDefault="0079692B" w:rsidP="00A1783A">
            <w:pPr>
              <w:pStyle w:val="ListParagraph"/>
              <w:numPr>
                <w:ilvl w:val="0"/>
                <w:numId w:val="1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Finalidad 1: Aumentar la colaboración entre las agencias </w:t>
            </w:r>
            <w:proofErr w:type="spellStart"/>
            <w:r w:rsidRPr="00E549A4">
              <w:rPr>
                <w:rFonts w:ascii="Calibri" w:eastAsia="Times New Roman" w:hAnsi="Calibri" w:cs="Calibri"/>
                <w:sz w:val="20"/>
                <w:szCs w:val="20"/>
                <w:lang w:val="es"/>
              </w:rPr>
              <w:t>subdestinatarias</w:t>
            </w:r>
            <w:proofErr w:type="spellEnd"/>
          </w:p>
          <w:p w14:paraId="2C92FCD6" w14:textId="52B783E7" w:rsidR="0079692B" w:rsidRPr="00E549A4" w:rsidRDefault="0079692B" w:rsidP="00A1783A">
            <w:pPr>
              <w:pStyle w:val="ListParagraph"/>
              <w:numPr>
                <w:ilvl w:val="0"/>
                <w:numId w:val="1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Finalidad 2: Reducir la cantidad de clientes con abandono de la atención mediante el aumento de la cantidad de traspasos con intermediación.</w:t>
            </w:r>
          </w:p>
          <w:p w14:paraId="34478E5F" w14:textId="561541F5" w:rsidR="0079692B" w:rsidRPr="00E549A4" w:rsidRDefault="0079692B"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lastRenderedPageBreak/>
              <w:t>Orden del día de la próxima reunión:</w:t>
            </w:r>
          </w:p>
          <w:p w14:paraId="1FB6F812" w14:textId="18B0B095" w:rsidR="0079692B" w:rsidRPr="00E549A4" w:rsidRDefault="0079692B" w:rsidP="00A1783A">
            <w:pPr>
              <w:pStyle w:val="ListParagraph"/>
              <w:numPr>
                <w:ilvl w:val="0"/>
                <w:numId w:val="12"/>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El rol de la gestión de la calidad con la participación de la comunidad</w:t>
            </w:r>
          </w:p>
          <w:p w14:paraId="7569B4BC" w14:textId="548977F7" w:rsidR="0079692B" w:rsidRPr="00E549A4" w:rsidRDefault="0079692B" w:rsidP="00A1783A">
            <w:pPr>
              <w:pStyle w:val="ListParagraph"/>
              <w:numPr>
                <w:ilvl w:val="0"/>
                <w:numId w:val="12"/>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¿Cómo incrementar la participación comunitaria? </w:t>
            </w:r>
          </w:p>
          <w:p w14:paraId="08619004" w14:textId="48D2D916" w:rsidR="0079692B" w:rsidRPr="00E549A4" w:rsidRDefault="0079692B" w:rsidP="00A1783A">
            <w:pPr>
              <w:pStyle w:val="ListParagraph"/>
              <w:numPr>
                <w:ilvl w:val="0"/>
                <w:numId w:val="12"/>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¿Qué es una Junta Asesora de Clientes (CAB, por su sigla en inglés) y cómo puedo formar parte?</w:t>
            </w:r>
          </w:p>
          <w:p w14:paraId="746E3119" w14:textId="77777777" w:rsidR="006401BF" w:rsidRPr="00E549A4" w:rsidRDefault="007463E5" w:rsidP="00A1783A">
            <w:pPr>
              <w:pStyle w:val="ListParagraph"/>
              <w:numPr>
                <w:ilvl w:val="0"/>
                <w:numId w:val="4"/>
              </w:numPr>
              <w:rPr>
                <w:sz w:val="20"/>
                <w:szCs w:val="20"/>
                <w:lang w:val="es-ES"/>
              </w:rPr>
            </w:pPr>
            <w:r w:rsidRPr="00E549A4">
              <w:rPr>
                <w:sz w:val="20"/>
                <w:szCs w:val="20"/>
                <w:lang w:val="es"/>
              </w:rPr>
              <w:t>James T: ¿La Junta Asesora de Clientes solo trata de clientes activos o les gustaría escuchar la opinión de clientes con experiencias negativas para tener una visión completa?</w:t>
            </w:r>
          </w:p>
          <w:p w14:paraId="1A3F3D2F" w14:textId="7BFE0008" w:rsidR="006401BF" w:rsidRPr="00E549A4" w:rsidRDefault="007463E5" w:rsidP="00A1783A">
            <w:pPr>
              <w:pStyle w:val="ListParagraph"/>
              <w:numPr>
                <w:ilvl w:val="0"/>
                <w:numId w:val="4"/>
              </w:numPr>
              <w:rPr>
                <w:sz w:val="20"/>
                <w:szCs w:val="20"/>
              </w:rPr>
            </w:pPr>
            <w:r w:rsidRPr="00E549A4">
              <w:rPr>
                <w:sz w:val="20"/>
                <w:szCs w:val="20"/>
                <w:lang w:val="es"/>
              </w:rPr>
              <w:t>Karlos: Todos los clientes vigentes. No podremos realizar una gestión completa de la calidad sin escuchar todos los comentarios. Todos los comentarios de los clientes son beneficiosos. Lo que hicimos en la OID (por su sigla en inglés, Oficina de Enfermedades Infecciosas) en relación con los servicios comunitarios para el VIH fue asegurarnos de que la gestión de la calidad estuviera integrada en cada organización o agencia de los Programas Ryan White. Todos tienen un gerente de gestión de la calidad.</w:t>
            </w:r>
          </w:p>
          <w:p w14:paraId="28803D94" w14:textId="77777777" w:rsidR="006401BF" w:rsidRPr="00E549A4" w:rsidRDefault="007463E5" w:rsidP="00A1783A">
            <w:pPr>
              <w:pStyle w:val="ListParagraph"/>
              <w:numPr>
                <w:ilvl w:val="0"/>
                <w:numId w:val="4"/>
              </w:numPr>
              <w:rPr>
                <w:sz w:val="20"/>
                <w:szCs w:val="20"/>
                <w:lang w:val="es-ES"/>
              </w:rPr>
            </w:pPr>
            <w:r w:rsidRPr="00E549A4">
              <w:rPr>
                <w:sz w:val="20"/>
                <w:szCs w:val="20"/>
                <w:lang w:val="es"/>
              </w:rPr>
              <w:t>Howard R: ¿Las organizaciones se asocian para ver qué están haciendo las demás? ¿El DOH ayuda a las organizaciones a asociarse y hablar sobre lo que están haciendo?</w:t>
            </w:r>
          </w:p>
          <w:p w14:paraId="17435DE8" w14:textId="77777777" w:rsidR="006401BF" w:rsidRPr="00E549A4" w:rsidRDefault="006401BF" w:rsidP="00A1783A">
            <w:pPr>
              <w:pStyle w:val="ListParagraph"/>
              <w:numPr>
                <w:ilvl w:val="0"/>
                <w:numId w:val="4"/>
              </w:numPr>
              <w:rPr>
                <w:sz w:val="20"/>
                <w:szCs w:val="20"/>
                <w:lang w:val="es-ES"/>
              </w:rPr>
            </w:pPr>
            <w:r w:rsidRPr="00E549A4">
              <w:rPr>
                <w:sz w:val="20"/>
                <w:szCs w:val="20"/>
                <w:lang w:val="es"/>
              </w:rPr>
              <w:t>Karlos: Uno de los primeros pasos de la gestión de la calidad es poder realizar una evaluación de cada agencia para ver en qué punto se encuentran en relación con la Junta Asesora de Clientes y la participación de los clientes. Esto es algo que actualmente se está desarrollando. También se trata de comprender el volumen y la ubicación de los clientes y de que no todas las agencias podrían tener una Junta Asesora de Clientes tan robusta. Este es un tema del cual estamos tratando de brindar información y nociones básicas para que las agencias puedan incorporarlo en su alcance y capacidad.</w:t>
            </w:r>
          </w:p>
          <w:p w14:paraId="67FF2219" w14:textId="77777777" w:rsidR="006401BF" w:rsidRPr="00E549A4" w:rsidRDefault="007463E5" w:rsidP="00A1783A">
            <w:pPr>
              <w:pStyle w:val="ListParagraph"/>
              <w:numPr>
                <w:ilvl w:val="0"/>
                <w:numId w:val="4"/>
              </w:numPr>
              <w:rPr>
                <w:sz w:val="20"/>
                <w:szCs w:val="20"/>
                <w:lang w:val="es-ES"/>
              </w:rPr>
            </w:pPr>
            <w:r w:rsidRPr="00E549A4">
              <w:rPr>
                <w:sz w:val="20"/>
                <w:szCs w:val="20"/>
                <w:lang w:val="es"/>
              </w:rPr>
              <w:t>Omero: ¿Puede haber más de una Junta Asesora de Clientes por zona?</w:t>
            </w:r>
          </w:p>
          <w:p w14:paraId="24118DA7" w14:textId="47798DAE" w:rsidR="007463E5" w:rsidRPr="00E549A4" w:rsidRDefault="006401BF" w:rsidP="00A1783A">
            <w:pPr>
              <w:pStyle w:val="ListParagraph"/>
              <w:numPr>
                <w:ilvl w:val="0"/>
                <w:numId w:val="4"/>
              </w:numPr>
              <w:rPr>
                <w:sz w:val="20"/>
                <w:szCs w:val="20"/>
                <w:lang w:val="es-ES"/>
              </w:rPr>
            </w:pPr>
            <w:r w:rsidRPr="00E549A4">
              <w:rPr>
                <w:sz w:val="20"/>
                <w:szCs w:val="20"/>
                <w:lang w:val="es"/>
              </w:rPr>
              <w:t>Karlos: Sí, recomendamos que cada agencia tenga la suya propia.</w:t>
            </w:r>
          </w:p>
          <w:p w14:paraId="1980B320" w14:textId="02BCF97E" w:rsidR="007463E5" w:rsidRPr="00E549A4" w:rsidRDefault="006401BF" w:rsidP="00A1783A">
            <w:pPr>
              <w:pStyle w:val="ListParagraph"/>
              <w:numPr>
                <w:ilvl w:val="0"/>
                <w:numId w:val="4"/>
              </w:numPr>
              <w:rPr>
                <w:sz w:val="20"/>
                <w:szCs w:val="20"/>
                <w:lang w:val="es-ES"/>
              </w:rPr>
            </w:pPr>
            <w:r w:rsidRPr="00E549A4">
              <w:rPr>
                <w:sz w:val="20"/>
                <w:szCs w:val="20"/>
                <w:lang w:val="es"/>
              </w:rPr>
              <w:t xml:space="preserve">Si tienen alguna otra pregunta, no duden en comunicarse con Karlos enviando un correo electrónico a </w:t>
            </w:r>
            <w:hyperlink r:id="rId11" w:history="1">
              <w:r w:rsidRPr="00E549A4">
                <w:rPr>
                  <w:rStyle w:val="Hyperlink"/>
                  <w:sz w:val="20"/>
                  <w:szCs w:val="20"/>
                  <w:lang w:val="es"/>
                </w:rPr>
                <w:t>Karlos.Johnson@doh.wa.gov</w:t>
              </w:r>
            </w:hyperlink>
            <w:r w:rsidRPr="00E549A4">
              <w:rPr>
                <w:sz w:val="20"/>
                <w:szCs w:val="20"/>
                <w:lang w:val="es"/>
              </w:rPr>
              <w:t xml:space="preserve">. </w:t>
            </w:r>
          </w:p>
          <w:p w14:paraId="387979B8" w14:textId="4268635A" w:rsidR="000A0B08" w:rsidRPr="00E549A4" w:rsidRDefault="0079692B" w:rsidP="00A1783A">
            <w:pPr>
              <w:pStyle w:val="ListParagraph"/>
              <w:numPr>
                <w:ilvl w:val="0"/>
                <w:numId w:val="3"/>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Actualizaciones del comité:</w:t>
            </w:r>
          </w:p>
          <w:p w14:paraId="0AB62FCC" w14:textId="1DC6A917" w:rsidR="000A0B08" w:rsidRPr="00E549A4" w:rsidRDefault="000A0B08"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Despliegue de dos proyectos iniciales del comité:</w:t>
            </w:r>
          </w:p>
          <w:p w14:paraId="0A601802" w14:textId="43F8F881" w:rsidR="000A0B08" w:rsidRPr="00E549A4" w:rsidRDefault="000A0B08" w:rsidP="00A1783A">
            <w:pPr>
              <w:pStyle w:val="ListParagraph"/>
              <w:numPr>
                <w:ilvl w:val="0"/>
                <w:numId w:val="1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El comité de datos revisó los 13 objetivos del plan integrado. Medidas de evaluación de resultados.</w:t>
            </w:r>
          </w:p>
          <w:p w14:paraId="4B09B5EF" w14:textId="65D1563B" w:rsidR="000A0B08" w:rsidRPr="00E549A4" w:rsidRDefault="000A0B08" w:rsidP="00A1783A">
            <w:pPr>
              <w:pStyle w:val="ListParagraph"/>
              <w:numPr>
                <w:ilvl w:val="0"/>
                <w:numId w:val="1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James T: Revisó los 13 objetivos con Claire Mocha. Diferentes secciones. Revisión de los demás departamentos en funcionamiento que tienen perspectivas o ideas sobre cómo dirigir los objetivos y trabajar juntos de manera </w:t>
            </w:r>
            <w:r w:rsidRPr="00E549A4">
              <w:rPr>
                <w:rFonts w:ascii="Calibri" w:eastAsia="Times New Roman" w:hAnsi="Calibri" w:cs="Calibri"/>
                <w:sz w:val="20"/>
                <w:szCs w:val="20"/>
                <w:lang w:val="es"/>
              </w:rPr>
              <w:lastRenderedPageBreak/>
              <w:t>eficiente. Hablamos sobre una posible colaboración con CHWS para los servicios móviles. Intentamos encontrar la pieza que falta en el rompecabezas del DOH.</w:t>
            </w:r>
          </w:p>
          <w:p w14:paraId="3A6291A1" w14:textId="3E319C70" w:rsidR="000A0B08" w:rsidRPr="00E549A4" w:rsidRDefault="000A0B08" w:rsidP="00A1783A">
            <w:pPr>
              <w:pStyle w:val="ListParagraph"/>
              <w:numPr>
                <w:ilvl w:val="0"/>
                <w:numId w:val="14"/>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 xml:space="preserve">Omero: La mayoría de los objetivos giran en torno a tener agencias de apoyo con unidades móviles para poder llegar a distintas partes de la comunidad y no solo centrarnos en las comunidades rurales. A medida que las poblaciones aumentan, habrá personas que no salgan de casa. Gracias al modelo de servicios en el hogar que cada vez es más popular, no hace falta salir de casa si no queremos. La asistencia pública puede hacer que las personas confinadas no salgan. Las unidades móviles pueden llegar al punto en el que toman muestras de sangre y administran medicamentos. Podrían brindar servicios a muchísimas personas. La atención centrada en el cliente combatirá la parte </w:t>
            </w:r>
            <w:proofErr w:type="spellStart"/>
            <w:r w:rsidRPr="00E549A4">
              <w:rPr>
                <w:rFonts w:ascii="Calibri" w:eastAsia="Times New Roman" w:hAnsi="Calibri" w:cs="Calibri"/>
                <w:sz w:val="20"/>
                <w:szCs w:val="20"/>
                <w:lang w:val="es"/>
              </w:rPr>
              <w:t>sindémica</w:t>
            </w:r>
            <w:proofErr w:type="spellEnd"/>
            <w:r w:rsidRPr="00E549A4">
              <w:rPr>
                <w:rFonts w:ascii="Calibri" w:eastAsia="Times New Roman" w:hAnsi="Calibri" w:cs="Calibri"/>
                <w:sz w:val="20"/>
                <w:szCs w:val="20"/>
                <w:lang w:val="es"/>
              </w:rPr>
              <w:t>. Asistir a las personas donde están cómodas.</w:t>
            </w:r>
          </w:p>
          <w:p w14:paraId="6351B198" w14:textId="77777777" w:rsidR="00C56AE2" w:rsidRPr="00E549A4" w:rsidRDefault="00C56AE2" w:rsidP="00A1783A">
            <w:pPr>
              <w:pStyle w:val="ListParagraph"/>
              <w:numPr>
                <w:ilvl w:val="0"/>
                <w:numId w:val="4"/>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 xml:space="preserve">Comité </w:t>
            </w:r>
            <w:proofErr w:type="spellStart"/>
            <w:r w:rsidRPr="00E549A4">
              <w:rPr>
                <w:rFonts w:ascii="Calibri" w:eastAsia="Times New Roman" w:hAnsi="Calibri" w:cs="Calibri"/>
                <w:sz w:val="20"/>
                <w:szCs w:val="20"/>
                <w:lang w:val="es"/>
              </w:rPr>
              <w:t>sindémico</w:t>
            </w:r>
            <w:proofErr w:type="spellEnd"/>
            <w:r w:rsidRPr="00E549A4">
              <w:rPr>
                <w:rFonts w:ascii="Calibri" w:eastAsia="Times New Roman" w:hAnsi="Calibri" w:cs="Calibri"/>
                <w:sz w:val="20"/>
                <w:szCs w:val="20"/>
                <w:lang w:val="es"/>
              </w:rPr>
              <w:t>:</w:t>
            </w:r>
          </w:p>
          <w:p w14:paraId="42693C5F" w14:textId="080E74AF" w:rsidR="00C56AE2" w:rsidRPr="00E549A4" w:rsidRDefault="00C56AE2" w:rsidP="00A1783A">
            <w:pPr>
              <w:pStyle w:val="ListParagraph"/>
              <w:numPr>
                <w:ilvl w:val="0"/>
                <w:numId w:val="15"/>
              </w:numPr>
              <w:spacing w:after="0" w:line="240" w:lineRule="auto"/>
              <w:rPr>
                <w:rFonts w:ascii="Calibri" w:eastAsia="Times New Roman" w:hAnsi="Calibri" w:cs="Calibri"/>
                <w:sz w:val="20"/>
                <w:szCs w:val="20"/>
                <w:lang w:val="es-ES"/>
              </w:rPr>
            </w:pPr>
            <w:proofErr w:type="spellStart"/>
            <w:r w:rsidRPr="00E549A4">
              <w:rPr>
                <w:rFonts w:ascii="Calibri" w:eastAsia="Times New Roman" w:hAnsi="Calibri" w:cs="Calibri"/>
                <w:sz w:val="20"/>
                <w:szCs w:val="20"/>
                <w:lang w:val="es"/>
              </w:rPr>
              <w:t>Bridgette</w:t>
            </w:r>
            <w:proofErr w:type="spellEnd"/>
            <w:r w:rsidRPr="00E549A4">
              <w:rPr>
                <w:rFonts w:ascii="Calibri" w:eastAsia="Times New Roman" w:hAnsi="Calibri" w:cs="Calibri"/>
                <w:sz w:val="20"/>
                <w:szCs w:val="20"/>
                <w:lang w:val="es"/>
              </w:rPr>
              <w:t>: ¿Cómo nos aseguramos de que se estén proporcionando servicios y calidad? Garantizar que los miembros reciban buenos servicios. Posiblemente, analizar cómo podemos trabajar con estas agencias y realizar encuestas de terceros para ellas. ¿Cómo podemos ser tan equitativos y transparentes como sea posible para los clientes que recibirán servicios?</w:t>
            </w:r>
          </w:p>
          <w:p w14:paraId="4CB3D67F" w14:textId="76C7058C" w:rsidR="00241789" w:rsidRPr="00E549A4" w:rsidRDefault="00241789" w:rsidP="00A1783A">
            <w:pPr>
              <w:pStyle w:val="ListParagraph"/>
              <w:numPr>
                <w:ilvl w:val="0"/>
                <w:numId w:val="15"/>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William: ¿Hemos confirmado NOSOTROS que los servicios móviles son lo que la gente necesita o solicita? ¿Hemos determinado qué agencias ya usan servicios móviles y qué agencias no los tienen, o no cuentan con fondos para establecerlos?</w:t>
            </w:r>
          </w:p>
          <w:p w14:paraId="66F982DC" w14:textId="16D5DBD4" w:rsidR="00C56AE2" w:rsidRPr="00E549A4" w:rsidRDefault="00241789" w:rsidP="00A1783A">
            <w:pPr>
              <w:pStyle w:val="ListParagraph"/>
              <w:numPr>
                <w:ilvl w:val="0"/>
                <w:numId w:val="15"/>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Claire: Estas son excelentes preguntas y algunas de las que pretendemos responder con nuestra evaluación, aunque el WSPG podría también ayudarnos a explorar la necesidad y el uso de los servicios móviles en distintas comunidades de todo el estado mediante el trabajo de las asambleas electorales y otros proyectos.</w:t>
            </w:r>
          </w:p>
          <w:p w14:paraId="715AAF99" w14:textId="32DD9DBA" w:rsidR="00C56AE2" w:rsidRPr="00E549A4" w:rsidRDefault="00C56AE2" w:rsidP="00A1783A">
            <w:pPr>
              <w:pStyle w:val="ListParagraph"/>
              <w:numPr>
                <w:ilvl w:val="0"/>
                <w:numId w:val="15"/>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 xml:space="preserve">Beth: Quería decir que, en el pasado, el DOH no ha podido apoyar mediante financiación a los servicios móviles. Me refiero a la compra de equipos, camionetas, camiones o vehículos. Estamos trabajando para resolver estos problemas y creemos que existe una solución. Para las agencias estatales, trabajar para resolver esta situación y adquirir un vehículo con fondos federales o estatales es un proceso difícil. Estamos tratando de mejorar la burocracia en torno a este tema. Esto se pidió en el pasado y no se ha podido lograr. Debemos avanzar hacia un lugar donde podamos cumplir con esta solicitud. El futuro traerá más apoyo para los servicios móviles. </w:t>
            </w:r>
          </w:p>
          <w:p w14:paraId="6457C06E" w14:textId="61B5C281" w:rsidR="00C56AE2" w:rsidRPr="00E549A4" w:rsidRDefault="00C56AE2" w:rsidP="00A1783A">
            <w:pPr>
              <w:pStyle w:val="ListParagraph"/>
              <w:numPr>
                <w:ilvl w:val="0"/>
                <w:numId w:val="15"/>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lastRenderedPageBreak/>
              <w:t>Howard: Este tema se mencionó en la reunión de los 13 objetivos. Mi inquietud era que se realizaron RPF (por su sigla en inglés, solicitudes de propuesta) para que la gente tenga camionetas de servicios móviles, pero se limitó la solicitud de otras personas. Necesitamos hacer las cosas de manera distinta para que ellos también puedan presentar su RPF.</w:t>
            </w:r>
          </w:p>
          <w:p w14:paraId="1BB5F2FE" w14:textId="4394B3E9" w:rsidR="00C56AE2" w:rsidRPr="00E549A4" w:rsidRDefault="007B1566" w:rsidP="00A1783A">
            <w:pPr>
              <w:pStyle w:val="ListParagraph"/>
              <w:numPr>
                <w:ilvl w:val="0"/>
                <w:numId w:val="15"/>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Beth: La OID apoya el trabajo de las unidades móviles. Se intenta trabajar para resolver esto y fomentar los servicios móviles. Queremos brindar apoyo para lograr este objetivo.</w:t>
            </w:r>
          </w:p>
        </w:tc>
        <w:tc>
          <w:tcPr>
            <w:tcW w:w="1440" w:type="dxa"/>
            <w:shd w:val="clear" w:color="auto" w:fill="auto"/>
          </w:tcPr>
          <w:p w14:paraId="2E37C281" w14:textId="77777777" w:rsidR="00CF41E4" w:rsidRPr="00E549A4" w:rsidRDefault="00CF41E4" w:rsidP="00B13A9F">
            <w:pPr>
              <w:spacing w:after="0" w:line="240" w:lineRule="auto"/>
              <w:jc w:val="center"/>
              <w:rPr>
                <w:rFonts w:ascii="Calibri" w:eastAsia="Times New Roman" w:hAnsi="Calibri" w:cs="Times New Roman"/>
                <w:sz w:val="20"/>
                <w:szCs w:val="20"/>
              </w:rPr>
            </w:pPr>
          </w:p>
        </w:tc>
        <w:tc>
          <w:tcPr>
            <w:tcW w:w="1507" w:type="dxa"/>
            <w:shd w:val="clear" w:color="auto" w:fill="auto"/>
          </w:tcPr>
          <w:p w14:paraId="2C2DAC9A" w14:textId="6661C197" w:rsidR="00CF41E4" w:rsidRPr="00E549A4" w:rsidRDefault="001D3009" w:rsidP="00B13A9F">
            <w:pPr>
              <w:spacing w:after="0" w:line="240" w:lineRule="auto"/>
              <w:jc w:val="center"/>
              <w:rPr>
                <w:rFonts w:ascii="Calibri" w:eastAsia="Times New Roman" w:hAnsi="Calibri" w:cs="Times New Roman"/>
                <w:sz w:val="20"/>
                <w:szCs w:val="20"/>
              </w:rPr>
            </w:pPr>
            <w:proofErr w:type="spellStart"/>
            <w:r w:rsidRPr="00E549A4">
              <w:rPr>
                <w:rFonts w:ascii="Calibri" w:eastAsia="Times New Roman" w:hAnsi="Calibri" w:cs="Times New Roman"/>
                <w:sz w:val="20"/>
                <w:szCs w:val="20"/>
                <w:lang w:val="es"/>
              </w:rPr>
              <w:t>Starleen</w:t>
            </w:r>
            <w:proofErr w:type="spellEnd"/>
            <w:r w:rsidRPr="00E549A4">
              <w:rPr>
                <w:rFonts w:ascii="Calibri" w:eastAsia="Times New Roman" w:hAnsi="Calibri" w:cs="Times New Roman"/>
                <w:sz w:val="20"/>
                <w:szCs w:val="20"/>
                <w:lang w:val="es"/>
              </w:rPr>
              <w:t xml:space="preserve"> y Summer</w:t>
            </w:r>
          </w:p>
        </w:tc>
      </w:tr>
      <w:tr w:rsidR="00CF41E4" w:rsidRPr="00E549A4" w14:paraId="22131F2B" w14:textId="77777777" w:rsidTr="00CF41E4">
        <w:trPr>
          <w:trHeight w:val="530"/>
        </w:trPr>
        <w:tc>
          <w:tcPr>
            <w:tcW w:w="1657" w:type="dxa"/>
            <w:shd w:val="clear" w:color="auto" w:fill="auto"/>
          </w:tcPr>
          <w:p w14:paraId="06BA71BD" w14:textId="39437D33" w:rsidR="00CF41E4" w:rsidRPr="00E549A4" w:rsidRDefault="00C95764" w:rsidP="00B13A9F">
            <w:p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lastRenderedPageBreak/>
              <w:t>III. Novedades de los miembros (10 min)</w:t>
            </w:r>
          </w:p>
        </w:tc>
        <w:tc>
          <w:tcPr>
            <w:tcW w:w="8190" w:type="dxa"/>
            <w:shd w:val="clear" w:color="auto" w:fill="auto"/>
          </w:tcPr>
          <w:p w14:paraId="43AF6F1A" w14:textId="77777777" w:rsidR="00A777DC" w:rsidRPr="00E549A4" w:rsidRDefault="00A777DC" w:rsidP="00A1783A">
            <w:pPr>
              <w:pStyle w:val="ListParagraph"/>
              <w:numPr>
                <w:ilvl w:val="0"/>
                <w:numId w:val="3"/>
              </w:numPr>
              <w:spacing w:after="0" w:line="240" w:lineRule="auto"/>
              <w:rPr>
                <w:rFonts w:ascii="Calibri" w:eastAsia="Times New Roman" w:hAnsi="Calibri" w:cs="Calibri"/>
                <w:sz w:val="20"/>
                <w:szCs w:val="20"/>
              </w:rPr>
            </w:pPr>
            <w:proofErr w:type="spellStart"/>
            <w:r w:rsidRPr="00E549A4">
              <w:rPr>
                <w:rFonts w:ascii="Calibri" w:eastAsia="Times New Roman" w:hAnsi="Calibri" w:cs="Calibri"/>
                <w:sz w:val="20"/>
                <w:szCs w:val="20"/>
                <w:lang w:val="es"/>
              </w:rPr>
              <w:t>Starleen</w:t>
            </w:r>
            <w:proofErr w:type="spellEnd"/>
            <w:r w:rsidRPr="00E549A4">
              <w:rPr>
                <w:rFonts w:ascii="Calibri" w:eastAsia="Times New Roman" w:hAnsi="Calibri" w:cs="Calibri"/>
                <w:sz w:val="20"/>
                <w:szCs w:val="20"/>
                <w:lang w:val="es"/>
              </w:rPr>
              <w:t>: Reunión presencial:</w:t>
            </w:r>
          </w:p>
          <w:p w14:paraId="403C1C60" w14:textId="77777777" w:rsidR="00D72547" w:rsidRPr="00E549A4" w:rsidRDefault="00A777DC"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Se está analizando OWL para las teleconferencias. Reducir gran parte de los costos. Envié el mapa de ubicación y el presupuesto de la reunión del año pasado. En este momento, estamos considerando la posibilidad de usar la encuesta para analizar otras maneras en las que podríamos reducir aún más los gastos del presupuesto. Una parte sería hacerla en septiembre y a principios de octubre. También hay que considerar una ubicación que se adapte a la mayoría de los miembros del WSPG y el debate sobre el dispositivo OWL. Muchas organizaciones lo han usado y se analiza su compra directa.</w:t>
            </w:r>
          </w:p>
          <w:p w14:paraId="68BD60EA" w14:textId="25551761" w:rsidR="007B1566" w:rsidRPr="00E549A4" w:rsidRDefault="00A777DC" w:rsidP="00A1783A">
            <w:pPr>
              <w:pStyle w:val="ListParagraph"/>
              <w:numPr>
                <w:ilvl w:val="0"/>
                <w:numId w:val="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Comité directivo: en este momento, los tres copresidentes deben revisar la selección de los miembros de este comité.</w:t>
            </w:r>
          </w:p>
        </w:tc>
        <w:tc>
          <w:tcPr>
            <w:tcW w:w="1440" w:type="dxa"/>
            <w:shd w:val="clear" w:color="auto" w:fill="auto"/>
          </w:tcPr>
          <w:p w14:paraId="443BDE8E" w14:textId="2ACF17D9" w:rsidR="00CF41E4" w:rsidRPr="00E549A4" w:rsidRDefault="00CF41E4" w:rsidP="00B13A9F">
            <w:pPr>
              <w:spacing w:after="0" w:line="240" w:lineRule="auto"/>
              <w:jc w:val="center"/>
              <w:rPr>
                <w:rFonts w:ascii="Calibri" w:eastAsia="Times New Roman" w:hAnsi="Calibri" w:cs="Times New Roman"/>
                <w:sz w:val="20"/>
                <w:szCs w:val="20"/>
                <w:lang w:val="es-ES"/>
              </w:rPr>
            </w:pPr>
          </w:p>
        </w:tc>
        <w:tc>
          <w:tcPr>
            <w:tcW w:w="1507" w:type="dxa"/>
            <w:shd w:val="clear" w:color="auto" w:fill="auto"/>
          </w:tcPr>
          <w:p w14:paraId="47D5B67E" w14:textId="2876EEE8" w:rsidR="00CF41E4" w:rsidRPr="00E549A4" w:rsidRDefault="00882E74" w:rsidP="00B13A9F">
            <w:pPr>
              <w:spacing w:after="0" w:line="240" w:lineRule="auto"/>
              <w:jc w:val="center"/>
              <w:rPr>
                <w:rFonts w:ascii="Calibri" w:eastAsia="Times New Roman" w:hAnsi="Calibri" w:cs="Times New Roman"/>
                <w:sz w:val="20"/>
                <w:szCs w:val="20"/>
              </w:rPr>
            </w:pPr>
            <w:r w:rsidRPr="00E549A4">
              <w:rPr>
                <w:rFonts w:ascii="Calibri" w:eastAsia="Times New Roman" w:hAnsi="Calibri" w:cs="Times New Roman"/>
                <w:sz w:val="20"/>
                <w:szCs w:val="20"/>
                <w:lang w:val="es"/>
              </w:rPr>
              <w:t>Karlos</w:t>
            </w:r>
          </w:p>
        </w:tc>
      </w:tr>
      <w:tr w:rsidR="00CF41E4" w:rsidRPr="00E549A4" w14:paraId="4311A714" w14:textId="77777777" w:rsidTr="00CF41E4">
        <w:trPr>
          <w:trHeight w:val="70"/>
        </w:trPr>
        <w:tc>
          <w:tcPr>
            <w:tcW w:w="1657" w:type="dxa"/>
            <w:shd w:val="clear" w:color="auto" w:fill="auto"/>
          </w:tcPr>
          <w:p w14:paraId="529F7AFA" w14:textId="298B53D5" w:rsidR="00CF41E4" w:rsidRPr="00E549A4" w:rsidRDefault="001F7629" w:rsidP="00B13A9F">
            <w:pPr>
              <w:spacing w:after="0" w:line="240" w:lineRule="auto"/>
              <w:rPr>
                <w:rFonts w:ascii="Calibri" w:eastAsia="Times New Roman" w:hAnsi="Calibri" w:cs="Times New Roman"/>
                <w:sz w:val="20"/>
                <w:szCs w:val="20"/>
                <w:lang w:val="es-ES"/>
              </w:rPr>
            </w:pPr>
            <w:r w:rsidRPr="00E549A4">
              <w:rPr>
                <w:rFonts w:ascii="Calibri" w:hAnsi="Calibri"/>
                <w:sz w:val="20"/>
                <w:szCs w:val="20"/>
                <w:lang w:val="es"/>
              </w:rPr>
              <w:t xml:space="preserve">IV. </w:t>
            </w:r>
            <w:r w:rsidRPr="00E549A4">
              <w:rPr>
                <w:sz w:val="20"/>
                <w:szCs w:val="20"/>
                <w:lang w:val="es"/>
              </w:rPr>
              <w:t xml:space="preserve">Presentación sobre el procesamiento de estipendios del </w:t>
            </w:r>
            <w:r w:rsidRPr="00E549A4">
              <w:rPr>
                <w:rFonts w:ascii="Calibri" w:hAnsi="Calibri"/>
                <w:sz w:val="20"/>
                <w:szCs w:val="20"/>
                <w:lang w:val="es"/>
              </w:rPr>
              <w:t>DOH y WSPG (25 min)</w:t>
            </w:r>
          </w:p>
        </w:tc>
        <w:tc>
          <w:tcPr>
            <w:tcW w:w="8190" w:type="dxa"/>
            <w:shd w:val="clear" w:color="auto" w:fill="auto"/>
          </w:tcPr>
          <w:p w14:paraId="419C96BE" w14:textId="1918809B" w:rsidR="00A777DC" w:rsidRPr="00E549A4" w:rsidRDefault="00A777DC" w:rsidP="00A1783A">
            <w:pPr>
              <w:pStyle w:val="ListParagraph"/>
              <w:numPr>
                <w:ilvl w:val="0"/>
                <w:numId w:val="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Summer </w:t>
            </w:r>
            <w:proofErr w:type="spellStart"/>
            <w:r w:rsidRPr="00E549A4">
              <w:rPr>
                <w:rFonts w:ascii="Calibri" w:eastAsia="Times New Roman" w:hAnsi="Calibri" w:cs="Calibri"/>
                <w:sz w:val="20"/>
                <w:szCs w:val="20"/>
                <w:lang w:val="es"/>
              </w:rPr>
              <w:t>Wurst</w:t>
            </w:r>
            <w:proofErr w:type="spellEnd"/>
            <w:r w:rsidRPr="00E549A4">
              <w:rPr>
                <w:rFonts w:ascii="Calibri" w:eastAsia="Times New Roman" w:hAnsi="Calibri" w:cs="Calibri"/>
                <w:sz w:val="20"/>
                <w:szCs w:val="20"/>
                <w:lang w:val="es"/>
              </w:rPr>
              <w:t xml:space="preserve"> – Presentación del proceso de estipendio:</w:t>
            </w:r>
          </w:p>
          <w:p w14:paraId="2F4FCBEB" w14:textId="6916202A" w:rsidR="00A777DC" w:rsidRPr="00E549A4" w:rsidRDefault="00A777DC" w:rsidP="00A1783A">
            <w:pPr>
              <w:pStyle w:val="ListParagraph"/>
              <w:numPr>
                <w:ilvl w:val="0"/>
                <w:numId w:val="16"/>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Motivo: La agencia y la legislatura analizaron la compensación de la comunidad y se aseguraron de que el proceso de compensación sea equitativo.</w:t>
            </w:r>
          </w:p>
          <w:p w14:paraId="234EC87F" w14:textId="77777777" w:rsidR="00A777DC" w:rsidRPr="00E549A4" w:rsidRDefault="00A777DC" w:rsidP="00A1783A">
            <w:pPr>
              <w:pStyle w:val="ListParagraph"/>
              <w:numPr>
                <w:ilvl w:val="0"/>
                <w:numId w:val="16"/>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¿Cuáles son las opciones de compensación? </w:t>
            </w:r>
          </w:p>
          <w:p w14:paraId="206E669D" w14:textId="430529D3" w:rsidR="00A777DC" w:rsidRPr="00E549A4" w:rsidRDefault="00A777DC" w:rsidP="00A1783A">
            <w:pPr>
              <w:pStyle w:val="ListParagraph"/>
              <w:numPr>
                <w:ilvl w:val="0"/>
                <w:numId w:val="17"/>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Depósito directo: se necesita cuenta bancaria, SSN (por su sigla en inglés, número de Seguro Social), SWV (por su sigla en inglés, número de proveedor de todo el estado) o número de identificación de contribuyente individual.</w:t>
            </w:r>
          </w:p>
          <w:p w14:paraId="68C7AF4C" w14:textId="3804D5C4" w:rsidR="00740ACB" w:rsidRPr="00E549A4" w:rsidRDefault="00740ACB" w:rsidP="00A1783A">
            <w:pPr>
              <w:pStyle w:val="ListParagraph"/>
              <w:numPr>
                <w:ilvl w:val="0"/>
                <w:numId w:val="17"/>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Cheque: se necesita una dirección postal y SSN o SWV. Debe poder esperar el pago (hasta ocho semanas).</w:t>
            </w:r>
          </w:p>
          <w:p w14:paraId="36C83974" w14:textId="16A6444A" w:rsidR="00740ACB" w:rsidRPr="00E549A4" w:rsidRDefault="00740ACB" w:rsidP="00A1783A">
            <w:pPr>
              <w:pStyle w:val="ListParagraph"/>
              <w:numPr>
                <w:ilvl w:val="0"/>
                <w:numId w:val="17"/>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Independientemente del método de pago, la Oficina de Servicios Financieros debe completar un formulario 1099-MISC para toda persona que recibe una compensación total de $600 o más. Como miembros de la comunidad, después usarán este formulario para notificar sus ingresos en su declaración de impuestos.</w:t>
            </w:r>
          </w:p>
          <w:p w14:paraId="46634A89" w14:textId="270999F6" w:rsidR="00A777DC" w:rsidRPr="00E549A4" w:rsidRDefault="00A777DC" w:rsidP="00A1783A">
            <w:pPr>
              <w:pStyle w:val="ListParagraph"/>
              <w:numPr>
                <w:ilvl w:val="0"/>
                <w:numId w:val="18"/>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Usar un SWV nos permite no incluir un SSN.</w:t>
            </w:r>
          </w:p>
          <w:p w14:paraId="24A8124F" w14:textId="55255F8F" w:rsidR="00740ACB" w:rsidRPr="00E549A4" w:rsidRDefault="00740ACB" w:rsidP="00A1783A">
            <w:pPr>
              <w:pStyle w:val="ListParagraph"/>
              <w:numPr>
                <w:ilvl w:val="0"/>
                <w:numId w:val="18"/>
              </w:numPr>
              <w:spacing w:after="0" w:line="240" w:lineRule="auto"/>
              <w:rPr>
                <w:rFonts w:ascii="Calibri" w:eastAsia="Times New Roman" w:hAnsi="Calibri" w:cs="Calibri"/>
                <w:sz w:val="20"/>
                <w:szCs w:val="20"/>
                <w:lang w:val="es-ES"/>
              </w:rPr>
            </w:pPr>
            <w:proofErr w:type="spellStart"/>
            <w:r w:rsidRPr="00E549A4">
              <w:rPr>
                <w:rFonts w:ascii="Calibri" w:eastAsia="Times New Roman" w:hAnsi="Calibri" w:cs="Calibri"/>
                <w:sz w:val="20"/>
                <w:szCs w:val="20"/>
                <w:lang w:val="es"/>
              </w:rPr>
              <w:t>Starleen</w:t>
            </w:r>
            <w:proofErr w:type="spellEnd"/>
            <w:r w:rsidRPr="00E549A4">
              <w:rPr>
                <w:rFonts w:ascii="Calibri" w:eastAsia="Times New Roman" w:hAnsi="Calibri" w:cs="Calibri"/>
                <w:sz w:val="20"/>
                <w:szCs w:val="20"/>
                <w:lang w:val="es"/>
              </w:rPr>
              <w:t>: El objetivo de usar un SWV es proteger la privacidad tanto como sea posible. A esto se llegó durante la reunión presencial inaugural del WSPG el año pasado.</w:t>
            </w:r>
          </w:p>
          <w:p w14:paraId="2025EC85" w14:textId="4D7A55FC" w:rsidR="00A1783A" w:rsidRPr="00E549A4" w:rsidRDefault="00A1783A" w:rsidP="00A1783A">
            <w:pPr>
              <w:pStyle w:val="ListParagraph"/>
              <w:numPr>
                <w:ilvl w:val="0"/>
                <w:numId w:val="18"/>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Formularios que deberán completar:</w:t>
            </w:r>
          </w:p>
          <w:p w14:paraId="127D57EA" w14:textId="02E50546" w:rsidR="00A1783A" w:rsidRPr="00E549A4" w:rsidRDefault="00A1783A" w:rsidP="00A1783A">
            <w:pPr>
              <w:pStyle w:val="ListParagraph"/>
              <w:numPr>
                <w:ilvl w:val="0"/>
                <w:numId w:val="19"/>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lastRenderedPageBreak/>
              <w:t xml:space="preserve">Formulario de solicitud de estipendio del Grupo de Planificación </w:t>
            </w:r>
            <w:proofErr w:type="spellStart"/>
            <w:r w:rsidRPr="00E549A4">
              <w:rPr>
                <w:rFonts w:ascii="Calibri" w:eastAsia="Times New Roman" w:hAnsi="Calibri" w:cs="Calibri"/>
                <w:sz w:val="20"/>
                <w:szCs w:val="20"/>
                <w:lang w:val="es"/>
              </w:rPr>
              <w:t>Sindémica</w:t>
            </w:r>
            <w:proofErr w:type="spellEnd"/>
            <w:r w:rsidRPr="00E549A4">
              <w:rPr>
                <w:rFonts w:ascii="Calibri" w:eastAsia="Times New Roman" w:hAnsi="Calibri" w:cs="Calibri"/>
                <w:sz w:val="20"/>
                <w:szCs w:val="20"/>
                <w:lang w:val="es"/>
              </w:rPr>
              <w:t xml:space="preserve"> del estado de Washington (específico del WSPG)</w:t>
            </w:r>
          </w:p>
          <w:p w14:paraId="73DD6DF1" w14:textId="77777777" w:rsidR="00A1783A" w:rsidRPr="00E549A4" w:rsidRDefault="00A1783A" w:rsidP="00A1783A">
            <w:pPr>
              <w:pStyle w:val="ListParagraph"/>
              <w:numPr>
                <w:ilvl w:val="0"/>
                <w:numId w:val="19"/>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Formulario de datos demográficos (opcional)</w:t>
            </w:r>
          </w:p>
          <w:p w14:paraId="5D7FEBA8" w14:textId="13E63F66" w:rsidR="00A1783A" w:rsidRPr="00E549A4" w:rsidRDefault="00A777DC" w:rsidP="00A1783A">
            <w:pPr>
              <w:pStyle w:val="ListParagraph"/>
              <w:numPr>
                <w:ilvl w:val="0"/>
                <w:numId w:val="20"/>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Datos demográficos: voluntarios y anónimos. No son obligatorios, pero nos ayudan a registrar las características demográficas del grupo de trabajo y todos estos grupos en el estado de Washington.</w:t>
            </w:r>
          </w:p>
          <w:p w14:paraId="6D7AA5B1" w14:textId="77777777" w:rsidR="00A1783A" w:rsidRPr="00E549A4" w:rsidRDefault="00A1783A" w:rsidP="00A1783A">
            <w:pPr>
              <w:pStyle w:val="ListParagraph"/>
              <w:numPr>
                <w:ilvl w:val="0"/>
                <w:numId w:val="20"/>
              </w:numPr>
              <w:spacing w:after="0" w:line="240" w:lineRule="auto"/>
              <w:rPr>
                <w:rFonts w:ascii="Calibri" w:eastAsia="Times New Roman" w:hAnsi="Calibri" w:cs="Calibri"/>
                <w:b/>
                <w:bCs/>
                <w:sz w:val="20"/>
                <w:szCs w:val="20"/>
                <w:lang w:val="es-ES"/>
              </w:rPr>
            </w:pPr>
            <w:r w:rsidRPr="00E549A4">
              <w:rPr>
                <w:rFonts w:ascii="Calibri" w:eastAsia="Times New Roman" w:hAnsi="Calibri" w:cs="Calibri"/>
                <w:sz w:val="20"/>
                <w:szCs w:val="20"/>
                <w:lang w:val="es"/>
              </w:rPr>
              <w:t>El Departamento de Salud del Estado de Washington tiene la obligación de solicitar los datos demográficos de los miembros de la comunidad que participan en juntas, comisiones, consejos, comités y otros grupos de índole similar del estado que reciben compensación de parte del Departamento de Salud del Estado de Washington según lo estipulado en el Segundo proyecto de ley enmendado del Senado 5793 de la Legislatura del estado de Washington, que exige que las agencias estatales proporcionen información geográfica y demográfica sobre los miembros de la comunidad que reciben estipendios de los grupos de trabajo de clase uno (RCW [por su sigla en inglés, Código Revisado de Washington] 43.03.2705).</w:t>
            </w:r>
          </w:p>
          <w:p w14:paraId="15076743" w14:textId="77777777" w:rsidR="00A1783A" w:rsidRPr="00E549A4" w:rsidRDefault="00A777DC" w:rsidP="00A1783A">
            <w:pPr>
              <w:pStyle w:val="ListParagraph"/>
              <w:numPr>
                <w:ilvl w:val="0"/>
                <w:numId w:val="20"/>
              </w:numPr>
              <w:spacing w:after="0" w:line="240" w:lineRule="auto"/>
              <w:rPr>
                <w:rFonts w:ascii="Calibri" w:eastAsia="Times New Roman" w:hAnsi="Calibri" w:cs="Calibri"/>
                <w:sz w:val="20"/>
                <w:szCs w:val="20"/>
                <w:lang w:val="es-ES"/>
              </w:rPr>
            </w:pPr>
            <w:r w:rsidRPr="00E549A4">
              <w:rPr>
                <w:rFonts w:ascii="Calibri" w:eastAsia="Times New Roman" w:hAnsi="Calibri" w:cs="Calibri"/>
                <w:b/>
                <w:bCs/>
                <w:sz w:val="20"/>
                <w:szCs w:val="20"/>
                <w:lang w:val="es"/>
              </w:rPr>
              <w:t>Recibirán el formulario la semana próxima.</w:t>
            </w:r>
          </w:p>
          <w:p w14:paraId="2E06AB67" w14:textId="3BC87A44" w:rsidR="00A777DC" w:rsidRPr="00E549A4" w:rsidRDefault="00A777DC" w:rsidP="00A1783A">
            <w:pPr>
              <w:pStyle w:val="ListParagraph"/>
              <w:numPr>
                <w:ilvl w:val="0"/>
                <w:numId w:val="20"/>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Tenemos la obligación de preguntar, pero no tienen la obligación de responder.</w:t>
            </w:r>
          </w:p>
          <w:p w14:paraId="50EA5A78" w14:textId="77777777" w:rsidR="00A777DC" w:rsidRPr="00E549A4" w:rsidRDefault="00A777DC" w:rsidP="00A1783A">
            <w:pPr>
              <w:pStyle w:val="ListParagraph"/>
              <w:numPr>
                <w:ilvl w:val="0"/>
                <w:numId w:val="20"/>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Beth: ¿Se pueden completar algunas secciones del formulario y dejar otras en blanco?</w:t>
            </w:r>
          </w:p>
          <w:p w14:paraId="499D9572" w14:textId="27E65381" w:rsidR="00A777DC" w:rsidRPr="00E549A4" w:rsidRDefault="00A777DC" w:rsidP="00A1783A">
            <w:pPr>
              <w:pStyle w:val="ListParagraph"/>
              <w:numPr>
                <w:ilvl w:val="0"/>
                <w:numId w:val="20"/>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Summer: Sí. Pueden responder las secciones que quieran. </w:t>
            </w:r>
            <w:proofErr w:type="spellStart"/>
            <w:r w:rsidRPr="00E549A4">
              <w:rPr>
                <w:rFonts w:ascii="Calibri" w:eastAsia="Times New Roman" w:hAnsi="Calibri" w:cs="Calibri"/>
                <w:sz w:val="20"/>
                <w:szCs w:val="20"/>
                <w:lang w:val="es"/>
              </w:rPr>
              <w:t>Starleen</w:t>
            </w:r>
            <w:proofErr w:type="spellEnd"/>
            <w:r w:rsidRPr="00E549A4">
              <w:rPr>
                <w:rFonts w:ascii="Calibri" w:eastAsia="Times New Roman" w:hAnsi="Calibri" w:cs="Calibri"/>
                <w:sz w:val="20"/>
                <w:szCs w:val="20"/>
                <w:lang w:val="es"/>
              </w:rPr>
              <w:t xml:space="preserve"> recibirá los formularios, recopilará la información en un documento que no incluye nombres y lo enviará al equipo administrativo de la OID.</w:t>
            </w:r>
          </w:p>
          <w:p w14:paraId="595D9CEC" w14:textId="77777777" w:rsidR="00A777DC" w:rsidRPr="00E549A4" w:rsidRDefault="00A777DC" w:rsidP="00A777DC">
            <w:pPr>
              <w:spacing w:after="0" w:line="240" w:lineRule="auto"/>
              <w:rPr>
                <w:rFonts w:ascii="Calibri" w:eastAsia="Times New Roman" w:hAnsi="Calibri" w:cs="Calibri"/>
                <w:sz w:val="20"/>
                <w:szCs w:val="20"/>
                <w:lang w:val="es-ES"/>
              </w:rPr>
            </w:pPr>
          </w:p>
          <w:p w14:paraId="4E934F0A" w14:textId="77777777" w:rsidR="00A777DC" w:rsidRPr="00E549A4" w:rsidRDefault="00A777DC" w:rsidP="00A777DC">
            <w:pPr>
              <w:spacing w:after="0" w:line="240" w:lineRule="auto"/>
              <w:rPr>
                <w:rFonts w:ascii="Calibri" w:eastAsia="Times New Roman" w:hAnsi="Calibri" w:cs="Calibri"/>
                <w:sz w:val="20"/>
                <w:szCs w:val="20"/>
                <w:lang w:val="es-ES"/>
              </w:rPr>
            </w:pPr>
          </w:p>
          <w:p w14:paraId="5A803793" w14:textId="77777777" w:rsidR="00A1783A" w:rsidRPr="00E549A4" w:rsidRDefault="00A1783A" w:rsidP="00A1783A">
            <w:pPr>
              <w:pStyle w:val="ListParagraph"/>
              <w:numPr>
                <w:ilvl w:val="0"/>
                <w:numId w:val="21"/>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Formulario de procesamiento de la remuneración:</w:t>
            </w:r>
          </w:p>
          <w:p w14:paraId="4AAA896F" w14:textId="59FD6B5E" w:rsidR="00A777DC" w:rsidRPr="00E549A4" w:rsidRDefault="00A777DC" w:rsidP="00A1783A">
            <w:pPr>
              <w:pStyle w:val="ListParagraph"/>
              <w:numPr>
                <w:ilvl w:val="0"/>
                <w:numId w:val="22"/>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La agencia solicita un formulario de procesamiento de la remuneración de la comunidad. </w:t>
            </w:r>
          </w:p>
          <w:p w14:paraId="0B6743F0" w14:textId="1FF1B630" w:rsidR="00A777DC" w:rsidRPr="00E549A4" w:rsidRDefault="00A777DC" w:rsidP="00A1783A">
            <w:pPr>
              <w:pStyle w:val="ListParagraph"/>
              <w:numPr>
                <w:ilvl w:val="0"/>
                <w:numId w:val="22"/>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Beth: Quisiera decir lo siguiente con la mejor intención. Llegué al DOH en 2010 desde una organización sin fines de lucro. Algo que aprendí de mi participación en el DOH es que siempre existe un formulario que hay que completar. Así es nuestro proceso; no es ideal, pero así funciona la burocracia. Tenemos muchos defectos en este sentido, pero siempre intentamos mejorar. Tal vez, las cosas cambiarán, pero, por ahora, son </w:t>
            </w:r>
            <w:r w:rsidRPr="00E549A4">
              <w:rPr>
                <w:rFonts w:ascii="Calibri" w:eastAsia="Times New Roman" w:hAnsi="Calibri" w:cs="Calibri"/>
                <w:sz w:val="20"/>
                <w:szCs w:val="20"/>
                <w:lang w:val="es"/>
              </w:rPr>
              <w:lastRenderedPageBreak/>
              <w:t xml:space="preserve">así. Entendemos sus molestias en relación con este formato. Estamos aquí para ayudarlos y queremos que reciban su remuneración. </w:t>
            </w:r>
          </w:p>
          <w:p w14:paraId="13A61526" w14:textId="3D60BA00" w:rsidR="00A777DC" w:rsidRPr="00E549A4" w:rsidRDefault="00A777DC" w:rsidP="00A1783A">
            <w:pPr>
              <w:pStyle w:val="ListParagraph"/>
              <w:numPr>
                <w:ilvl w:val="0"/>
                <w:numId w:val="22"/>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Summer: Si, en algún momento, necesitan ayuda para completar el formulario, comuníquense con nosotros. Podemos recopilar información por teléfono. Comuníquense con </w:t>
            </w:r>
            <w:proofErr w:type="spellStart"/>
            <w:r w:rsidRPr="00E549A4">
              <w:rPr>
                <w:rFonts w:ascii="Calibri" w:eastAsia="Times New Roman" w:hAnsi="Calibri" w:cs="Calibri"/>
                <w:sz w:val="20"/>
                <w:szCs w:val="20"/>
                <w:lang w:val="es"/>
              </w:rPr>
              <w:t>Starleen</w:t>
            </w:r>
            <w:proofErr w:type="spellEnd"/>
            <w:r w:rsidRPr="00E549A4">
              <w:rPr>
                <w:rFonts w:ascii="Calibri" w:eastAsia="Times New Roman" w:hAnsi="Calibri" w:cs="Calibri"/>
                <w:sz w:val="20"/>
                <w:szCs w:val="20"/>
                <w:lang w:val="es"/>
              </w:rPr>
              <w:t xml:space="preserve"> y ella coordinará con nosotros en la oficina la recopilación.</w:t>
            </w:r>
          </w:p>
          <w:p w14:paraId="341BCDC4" w14:textId="2D797A6D" w:rsidR="00A1783A" w:rsidRPr="00E549A4" w:rsidRDefault="00A1783A" w:rsidP="00A1783A">
            <w:pPr>
              <w:pStyle w:val="ListParagraph"/>
              <w:numPr>
                <w:ilvl w:val="0"/>
                <w:numId w:val="21"/>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Formulario 1099-MISC (que recibirán)</w:t>
            </w:r>
          </w:p>
          <w:p w14:paraId="2EB22A93" w14:textId="244375C8" w:rsidR="00A1783A" w:rsidRPr="00E549A4" w:rsidRDefault="00A1783A" w:rsidP="00A1783A">
            <w:pPr>
              <w:pStyle w:val="ListParagraph"/>
              <w:numPr>
                <w:ilvl w:val="0"/>
                <w:numId w:val="21"/>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Factura A19</w:t>
            </w:r>
          </w:p>
          <w:p w14:paraId="7E262C8B" w14:textId="77777777" w:rsidR="00A1783A" w:rsidRPr="00E549A4" w:rsidRDefault="00A1783A" w:rsidP="00A1783A">
            <w:pPr>
              <w:pStyle w:val="ListParagraph"/>
              <w:numPr>
                <w:ilvl w:val="0"/>
                <w:numId w:val="21"/>
              </w:numPr>
              <w:spacing w:after="0" w:line="240" w:lineRule="auto"/>
              <w:rPr>
                <w:rFonts w:ascii="Calibri" w:eastAsia="Times New Roman" w:hAnsi="Calibri" w:cs="Calibri"/>
                <w:sz w:val="20"/>
                <w:szCs w:val="20"/>
              </w:rPr>
            </w:pPr>
            <w:r w:rsidRPr="00E549A4">
              <w:rPr>
                <w:rFonts w:ascii="Calibri" w:eastAsia="Times New Roman" w:hAnsi="Calibri" w:cs="Calibri"/>
                <w:sz w:val="20"/>
                <w:szCs w:val="20"/>
                <w:lang w:val="es"/>
              </w:rPr>
              <w:t>Fechas de entrega:</w:t>
            </w:r>
          </w:p>
          <w:p w14:paraId="0B2D2B77" w14:textId="71603D7F" w:rsidR="00A1783A" w:rsidRPr="00E549A4" w:rsidRDefault="00A1783A" w:rsidP="00A1783A">
            <w:pPr>
              <w:spacing w:after="0" w:line="240" w:lineRule="auto"/>
              <w:ind w:left="990"/>
              <w:rPr>
                <w:rFonts w:ascii="Calibri" w:eastAsia="Times New Roman" w:hAnsi="Calibri" w:cs="Calibri"/>
                <w:sz w:val="20"/>
                <w:szCs w:val="20"/>
              </w:rPr>
            </w:pPr>
            <w:r w:rsidRPr="00E549A4">
              <w:rPr>
                <w:noProof/>
                <w:sz w:val="20"/>
                <w:szCs w:val="20"/>
                <w:lang w:val="es"/>
              </w:rPr>
              <w:drawing>
                <wp:inline distT="0" distB="0" distL="0" distR="0" wp14:anchorId="14242E92" wp14:editId="4B1B4D36">
                  <wp:extent cx="4495800" cy="962025"/>
                  <wp:effectExtent l="0" t="0" r="0" b="9525"/>
                  <wp:docPr id="726767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7516" name=""/>
                          <pic:cNvPicPr/>
                        </pic:nvPicPr>
                        <pic:blipFill>
                          <a:blip r:embed="rId12"/>
                          <a:stretch>
                            <a:fillRect/>
                          </a:stretch>
                        </pic:blipFill>
                        <pic:spPr>
                          <a:xfrm>
                            <a:off x="0" y="0"/>
                            <a:ext cx="4495800" cy="962025"/>
                          </a:xfrm>
                          <a:prstGeom prst="rect">
                            <a:avLst/>
                          </a:prstGeom>
                        </pic:spPr>
                      </pic:pic>
                    </a:graphicData>
                  </a:graphic>
                </wp:inline>
              </w:drawing>
            </w:r>
          </w:p>
          <w:p w14:paraId="2B21CC6D" w14:textId="1CCA283C" w:rsidR="00A777DC" w:rsidRPr="00E549A4" w:rsidRDefault="00A777DC" w:rsidP="00A1783A">
            <w:pPr>
              <w:pStyle w:val="ListParagraph"/>
              <w:numPr>
                <w:ilvl w:val="0"/>
                <w:numId w:val="2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Beth: Si no se presenta el formulario A19 antes del 5 de abril, ¿no se recibirá el pago?</w:t>
            </w:r>
          </w:p>
          <w:p w14:paraId="4AAC4B10" w14:textId="77777777" w:rsidR="00A777DC" w:rsidRPr="00E549A4" w:rsidRDefault="00A777DC" w:rsidP="00A1783A">
            <w:pPr>
              <w:pStyle w:val="ListParagraph"/>
              <w:numPr>
                <w:ilvl w:val="0"/>
                <w:numId w:val="23"/>
              </w:numPr>
              <w:spacing w:after="0" w:line="240" w:lineRule="auto"/>
              <w:rPr>
                <w:rFonts w:ascii="Calibri" w:eastAsia="Times New Roman" w:hAnsi="Calibri" w:cs="Calibri"/>
                <w:sz w:val="20"/>
                <w:szCs w:val="20"/>
              </w:rPr>
            </w:pPr>
            <w:proofErr w:type="spellStart"/>
            <w:r w:rsidRPr="00E549A4">
              <w:rPr>
                <w:rFonts w:ascii="Calibri" w:eastAsia="Times New Roman" w:hAnsi="Calibri" w:cs="Calibri"/>
                <w:sz w:val="20"/>
                <w:szCs w:val="20"/>
                <w:lang w:val="es"/>
              </w:rPr>
              <w:t>Starleen</w:t>
            </w:r>
            <w:proofErr w:type="spellEnd"/>
            <w:r w:rsidRPr="00E549A4">
              <w:rPr>
                <w:rFonts w:ascii="Calibri" w:eastAsia="Times New Roman" w:hAnsi="Calibri" w:cs="Calibri"/>
                <w:sz w:val="20"/>
                <w:szCs w:val="20"/>
                <w:lang w:val="es"/>
              </w:rPr>
              <w:t>: Si se presentan después de la fecha límite, habrá un retraso. Llegará un poco más tarde.</w:t>
            </w:r>
          </w:p>
          <w:p w14:paraId="6E6FFDD0" w14:textId="77777777" w:rsidR="008204D3" w:rsidRPr="00E549A4" w:rsidRDefault="00A777DC" w:rsidP="002A3214">
            <w:pPr>
              <w:pStyle w:val="ListParagraph"/>
              <w:numPr>
                <w:ilvl w:val="0"/>
                <w:numId w:val="2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Summer: Habrá restricciones más firmes para junio y julio debido al cierre del año fiscal estatal.</w:t>
            </w:r>
          </w:p>
          <w:p w14:paraId="34FB1FE7" w14:textId="77777777" w:rsidR="008204D3" w:rsidRPr="00E549A4" w:rsidRDefault="00A777DC" w:rsidP="00317534">
            <w:pPr>
              <w:pStyle w:val="ListParagraph"/>
              <w:numPr>
                <w:ilvl w:val="0"/>
                <w:numId w:val="2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Beth: ¿Les proporcionaremos a los miembros direcciones de correo electrónico de contacto de personas que podrían ayudarlos con toda la documentación?</w:t>
            </w:r>
          </w:p>
          <w:p w14:paraId="6E33C05D" w14:textId="0816013B" w:rsidR="00A777DC" w:rsidRPr="00E549A4" w:rsidRDefault="008204D3" w:rsidP="00317534">
            <w:pPr>
              <w:pStyle w:val="ListParagraph"/>
              <w:numPr>
                <w:ilvl w:val="0"/>
                <w:numId w:val="2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Summer: Pueden enviar solicitudes a la bandeja de entrada de administración: </w:t>
            </w:r>
            <w:hyperlink r:id="rId13" w:history="1">
              <w:r w:rsidRPr="00E549A4">
                <w:rPr>
                  <w:rStyle w:val="Hyperlink"/>
                  <w:rFonts w:ascii="Calibri" w:eastAsia="Times New Roman" w:hAnsi="Calibri" w:cs="Calibri"/>
                  <w:sz w:val="20"/>
                  <w:szCs w:val="20"/>
                  <w:lang w:val="es"/>
                </w:rPr>
                <w:t>OIDAdmin@doh.wa.gov</w:t>
              </w:r>
            </w:hyperlink>
            <w:r w:rsidRPr="00E549A4">
              <w:rPr>
                <w:rFonts w:ascii="Calibri" w:eastAsia="Times New Roman" w:hAnsi="Calibri" w:cs="Calibri"/>
                <w:sz w:val="20"/>
                <w:szCs w:val="20"/>
                <w:lang w:val="es"/>
              </w:rPr>
              <w:t xml:space="preserve">. </w:t>
            </w:r>
          </w:p>
          <w:p w14:paraId="3457BF30" w14:textId="256FCB00" w:rsidR="00264E35" w:rsidRPr="00E549A4" w:rsidDel="00AB66CD" w:rsidRDefault="00A777DC" w:rsidP="008204D3">
            <w:pPr>
              <w:pStyle w:val="ListParagraph"/>
              <w:numPr>
                <w:ilvl w:val="0"/>
                <w:numId w:val="24"/>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James T: Quiero darles las gracias. Puede parecer mucho, pero estoy agradecido por este nuevo formato, ya que protege nuestros intereses y muestra respeto por nuestro tiempo y esfuerzo. Gracias por la intención y el esfuerzo dedicado a este sistema de pago.</w:t>
            </w:r>
          </w:p>
        </w:tc>
        <w:tc>
          <w:tcPr>
            <w:tcW w:w="1440" w:type="dxa"/>
            <w:shd w:val="clear" w:color="auto" w:fill="auto"/>
          </w:tcPr>
          <w:p w14:paraId="254E5B19" w14:textId="5B3BE5EE" w:rsidR="00CB75C9" w:rsidRPr="00E549A4" w:rsidRDefault="00CB75C9" w:rsidP="00B13A9F">
            <w:pPr>
              <w:spacing w:after="0" w:line="240" w:lineRule="auto"/>
              <w:jc w:val="center"/>
              <w:rPr>
                <w:rFonts w:ascii="Calibri" w:eastAsia="Times New Roman" w:hAnsi="Calibri" w:cs="Times New Roman"/>
                <w:sz w:val="20"/>
                <w:szCs w:val="20"/>
                <w:lang w:val="es-ES"/>
              </w:rPr>
            </w:pPr>
          </w:p>
        </w:tc>
        <w:tc>
          <w:tcPr>
            <w:tcW w:w="1507" w:type="dxa"/>
            <w:shd w:val="clear" w:color="auto" w:fill="auto"/>
          </w:tcPr>
          <w:p w14:paraId="4A098C92" w14:textId="65D298C7" w:rsidR="00CB75C9" w:rsidRPr="00E549A4" w:rsidRDefault="00CB75C9" w:rsidP="00B13A9F">
            <w:pPr>
              <w:spacing w:after="0" w:line="240" w:lineRule="auto"/>
              <w:rPr>
                <w:rFonts w:ascii="Calibri" w:eastAsia="Times New Roman" w:hAnsi="Calibri" w:cs="Times New Roman"/>
                <w:sz w:val="20"/>
                <w:szCs w:val="20"/>
                <w:lang w:val="es-ES"/>
              </w:rPr>
            </w:pPr>
          </w:p>
        </w:tc>
      </w:tr>
      <w:tr w:rsidR="00CF41E4" w:rsidRPr="00E549A4" w14:paraId="6B427726" w14:textId="77777777" w:rsidTr="00CF41E4">
        <w:trPr>
          <w:trHeight w:val="70"/>
        </w:trPr>
        <w:tc>
          <w:tcPr>
            <w:tcW w:w="1657" w:type="dxa"/>
            <w:shd w:val="clear" w:color="auto" w:fill="auto"/>
          </w:tcPr>
          <w:p w14:paraId="5E782DCB" w14:textId="5A01C0CB" w:rsidR="00CF41E4" w:rsidRPr="00E549A4" w:rsidRDefault="00C95764" w:rsidP="00B13A9F">
            <w:pPr>
              <w:spacing w:after="0" w:line="240" w:lineRule="auto"/>
              <w:rPr>
                <w:rFonts w:ascii="Calibri" w:eastAsia="Times New Roman" w:hAnsi="Calibri" w:cs="Times New Roman"/>
                <w:sz w:val="20"/>
                <w:szCs w:val="20"/>
              </w:rPr>
            </w:pPr>
            <w:r w:rsidRPr="00E549A4">
              <w:rPr>
                <w:rFonts w:ascii="Calibri" w:eastAsia="Times New Roman" w:hAnsi="Calibri" w:cs="Times New Roman"/>
                <w:sz w:val="20"/>
                <w:szCs w:val="20"/>
                <w:lang w:val="es"/>
              </w:rPr>
              <w:lastRenderedPageBreak/>
              <w:t>V. Comentarios públicos</w:t>
            </w:r>
          </w:p>
        </w:tc>
        <w:tc>
          <w:tcPr>
            <w:tcW w:w="8190" w:type="dxa"/>
            <w:shd w:val="clear" w:color="auto" w:fill="auto"/>
          </w:tcPr>
          <w:p w14:paraId="4381AB2C" w14:textId="067464AB" w:rsidR="00CF41E4" w:rsidRPr="00E549A4" w:rsidDel="00AB66CD" w:rsidRDefault="00731357" w:rsidP="008204D3">
            <w:pPr>
              <w:pStyle w:val="ListParagraph"/>
              <w:numPr>
                <w:ilvl w:val="0"/>
                <w:numId w:val="3"/>
              </w:numPr>
              <w:spacing w:after="0" w:line="240" w:lineRule="auto"/>
              <w:rPr>
                <w:rFonts w:ascii="Calibri" w:eastAsia="Times New Roman" w:hAnsi="Calibri" w:cs="Calibri"/>
                <w:sz w:val="20"/>
                <w:szCs w:val="20"/>
                <w:lang w:val="es-ES"/>
              </w:rPr>
            </w:pPr>
            <w:r w:rsidRPr="00E549A4">
              <w:rPr>
                <w:rFonts w:ascii="Calibri" w:eastAsia="Times New Roman" w:hAnsi="Calibri" w:cs="Calibri"/>
                <w:sz w:val="20"/>
                <w:szCs w:val="20"/>
                <w:lang w:val="es"/>
              </w:rPr>
              <w:t xml:space="preserve">Beth: La semana pasada estuve en el Distrito de Columbia por motivos de trabajo y tuve la oportunidad de reunirme con personal de los CDC (por su sigla en inglés, Centros para el Control y la Prevención de Enfermedades), el HHS (por su sigla en inglés, Departamento de Salud y Servicios Humanos) y la HRSA (por su sigla en inglés, la Administración de Recursos y Servicios para la Salud). La OID habló sobre este grupo y el trabajo </w:t>
            </w:r>
            <w:proofErr w:type="spellStart"/>
            <w:r w:rsidRPr="00E549A4">
              <w:rPr>
                <w:rFonts w:ascii="Calibri" w:eastAsia="Times New Roman" w:hAnsi="Calibri" w:cs="Calibri"/>
                <w:sz w:val="20"/>
                <w:szCs w:val="20"/>
                <w:lang w:val="es"/>
              </w:rPr>
              <w:t>sindémico</w:t>
            </w:r>
            <w:proofErr w:type="spellEnd"/>
            <w:r w:rsidRPr="00E549A4">
              <w:rPr>
                <w:rFonts w:ascii="Calibri" w:eastAsia="Times New Roman" w:hAnsi="Calibri" w:cs="Calibri"/>
                <w:sz w:val="20"/>
                <w:szCs w:val="20"/>
                <w:lang w:val="es"/>
              </w:rPr>
              <w:t>, y pregunta sobre nuestro trabajo y lo que hizo este grupo.</w:t>
            </w:r>
          </w:p>
        </w:tc>
        <w:tc>
          <w:tcPr>
            <w:tcW w:w="1440" w:type="dxa"/>
            <w:shd w:val="clear" w:color="auto" w:fill="auto"/>
          </w:tcPr>
          <w:p w14:paraId="60909C70" w14:textId="77777777" w:rsidR="00CF41E4" w:rsidRPr="00E549A4" w:rsidRDefault="00CF41E4" w:rsidP="00B13A9F">
            <w:pPr>
              <w:spacing w:after="0" w:line="240" w:lineRule="auto"/>
              <w:jc w:val="center"/>
              <w:rPr>
                <w:rFonts w:ascii="Calibri" w:eastAsia="Times New Roman" w:hAnsi="Calibri" w:cs="Times New Roman"/>
                <w:sz w:val="20"/>
                <w:szCs w:val="20"/>
                <w:lang w:val="es-ES"/>
              </w:rPr>
            </w:pPr>
          </w:p>
        </w:tc>
        <w:tc>
          <w:tcPr>
            <w:tcW w:w="1507" w:type="dxa"/>
            <w:shd w:val="clear" w:color="auto" w:fill="auto"/>
          </w:tcPr>
          <w:p w14:paraId="26CE4C48" w14:textId="77777777" w:rsidR="00CF41E4" w:rsidRPr="00E549A4" w:rsidRDefault="00CF41E4" w:rsidP="00B13A9F">
            <w:pPr>
              <w:spacing w:after="0" w:line="240" w:lineRule="auto"/>
              <w:rPr>
                <w:rFonts w:ascii="Calibri" w:eastAsia="Times New Roman" w:hAnsi="Calibri" w:cs="Times New Roman"/>
                <w:sz w:val="20"/>
                <w:szCs w:val="20"/>
                <w:lang w:val="es-ES"/>
              </w:rPr>
            </w:pPr>
          </w:p>
        </w:tc>
      </w:tr>
      <w:tr w:rsidR="00CF41E4" w:rsidRPr="00E549A4" w14:paraId="5C64DBA3" w14:textId="77777777" w:rsidTr="00CF41E4">
        <w:tblPrEx>
          <w:tblLook w:val="04A0" w:firstRow="1" w:lastRow="0" w:firstColumn="1" w:lastColumn="0" w:noHBand="0" w:noVBand="1"/>
        </w:tblPrEx>
        <w:trPr>
          <w:trHeight w:val="620"/>
        </w:trPr>
        <w:tc>
          <w:tcPr>
            <w:tcW w:w="1657" w:type="dxa"/>
            <w:shd w:val="clear" w:color="auto" w:fill="auto"/>
          </w:tcPr>
          <w:p w14:paraId="17438934" w14:textId="104E1001" w:rsidR="00CF41E4" w:rsidRPr="00E549A4" w:rsidRDefault="00C95764" w:rsidP="00B13A9F">
            <w:p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lastRenderedPageBreak/>
              <w:t>VI. Comentarios finales y cierre de la sesión</w:t>
            </w:r>
          </w:p>
        </w:tc>
        <w:tc>
          <w:tcPr>
            <w:tcW w:w="8190" w:type="dxa"/>
            <w:shd w:val="clear" w:color="auto" w:fill="auto"/>
          </w:tcPr>
          <w:p w14:paraId="14F348B0" w14:textId="5D45E235" w:rsidR="00CF41E4" w:rsidRPr="00E549A4" w:rsidRDefault="00731357" w:rsidP="008204D3">
            <w:pPr>
              <w:pStyle w:val="ListParagraph"/>
              <w:numPr>
                <w:ilvl w:val="0"/>
                <w:numId w:val="3"/>
              </w:num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t>Cierre de sesión a las 7:29 p. 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CEF6DE" w14:textId="77777777" w:rsidR="00CF41E4" w:rsidRPr="00E549A4" w:rsidRDefault="00CF41E4" w:rsidP="00B13A9F">
            <w:pPr>
              <w:spacing w:after="0" w:line="240" w:lineRule="auto"/>
              <w:jc w:val="center"/>
              <w:rPr>
                <w:rFonts w:ascii="Calibri" w:eastAsia="Times New Roman" w:hAnsi="Calibri" w:cs="Times New Roman"/>
                <w:sz w:val="20"/>
                <w:szCs w:val="20"/>
                <w:lang w:val="es-ES"/>
              </w:rPr>
            </w:pPr>
          </w:p>
          <w:p w14:paraId="3E6D2C85" w14:textId="3E23DB74" w:rsidR="00CF41E4" w:rsidRPr="00E549A4" w:rsidRDefault="00CF41E4" w:rsidP="00DC3F0D">
            <w:pPr>
              <w:spacing w:after="0" w:line="240" w:lineRule="auto"/>
              <w:jc w:val="center"/>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t>Se envió un borrador del acta para su revisión.</w:t>
            </w:r>
          </w:p>
          <w:p w14:paraId="543855A3" w14:textId="209B057A" w:rsidR="00CF41E4" w:rsidRPr="00E549A4" w:rsidRDefault="00CF41E4" w:rsidP="00B13A9F">
            <w:pPr>
              <w:spacing w:after="0" w:line="240" w:lineRule="auto"/>
              <w:jc w:val="center"/>
              <w:rPr>
                <w:rFonts w:ascii="Calibri" w:eastAsia="Times New Roman" w:hAnsi="Calibri" w:cs="Times New Roman"/>
                <w:sz w:val="20"/>
                <w:szCs w:val="20"/>
                <w:lang w:val="es-ES"/>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9A017E8" w14:textId="77777777" w:rsidR="00CF41E4" w:rsidRPr="00E549A4" w:rsidRDefault="00CF41E4" w:rsidP="00B13A9F">
            <w:pPr>
              <w:spacing w:after="0" w:line="240" w:lineRule="auto"/>
              <w:jc w:val="center"/>
              <w:rPr>
                <w:rFonts w:ascii="Calibri" w:eastAsia="Times New Roman" w:hAnsi="Calibri" w:cs="Times New Roman"/>
                <w:sz w:val="20"/>
                <w:szCs w:val="20"/>
                <w:lang w:val="es-ES"/>
              </w:rPr>
            </w:pPr>
          </w:p>
          <w:p w14:paraId="6FCD8D80" w14:textId="77777777" w:rsidR="00CF41E4" w:rsidRPr="00E549A4" w:rsidRDefault="00CF41E4" w:rsidP="00B13A9F">
            <w:pPr>
              <w:spacing w:after="0" w:line="240" w:lineRule="auto"/>
              <w:jc w:val="center"/>
              <w:rPr>
                <w:rFonts w:ascii="Calibri" w:eastAsia="Times New Roman" w:hAnsi="Calibri" w:cs="Times New Roman"/>
                <w:sz w:val="20"/>
                <w:szCs w:val="20"/>
                <w:lang w:val="es-ES"/>
              </w:rPr>
            </w:pPr>
          </w:p>
          <w:p w14:paraId="047EA889" w14:textId="751D2900" w:rsidR="00CF41E4" w:rsidRPr="00E549A4" w:rsidRDefault="00CF41E4" w:rsidP="00B13A9F">
            <w:pPr>
              <w:spacing w:after="0" w:line="240" w:lineRule="auto"/>
              <w:jc w:val="center"/>
              <w:rPr>
                <w:rFonts w:ascii="Calibri" w:eastAsia="Times New Roman" w:hAnsi="Calibri" w:cs="Times New Roman"/>
                <w:sz w:val="20"/>
                <w:szCs w:val="20"/>
                <w:lang w:val="es-ES"/>
              </w:rPr>
            </w:pPr>
          </w:p>
          <w:p w14:paraId="484D4393" w14:textId="77777777" w:rsidR="00CF41E4" w:rsidRPr="00E549A4" w:rsidRDefault="00CF41E4" w:rsidP="00B13A9F">
            <w:pPr>
              <w:spacing w:after="0" w:line="240" w:lineRule="auto"/>
              <w:jc w:val="center"/>
              <w:rPr>
                <w:rFonts w:ascii="Calibri" w:eastAsia="Times New Roman" w:hAnsi="Calibri" w:cs="Times New Roman"/>
                <w:sz w:val="20"/>
                <w:szCs w:val="20"/>
                <w:lang w:val="es-ES"/>
              </w:rPr>
            </w:pPr>
          </w:p>
          <w:p w14:paraId="6EB6064C" w14:textId="77777777" w:rsidR="00CF41E4" w:rsidRPr="00E549A4" w:rsidRDefault="00CF41E4" w:rsidP="00B13A9F">
            <w:pPr>
              <w:spacing w:after="0" w:line="240" w:lineRule="auto"/>
              <w:jc w:val="center"/>
              <w:rPr>
                <w:rFonts w:ascii="Calibri" w:eastAsia="Times New Roman" w:hAnsi="Calibri" w:cs="Times New Roman"/>
                <w:sz w:val="20"/>
                <w:szCs w:val="20"/>
                <w:lang w:val="es-ES"/>
              </w:rPr>
            </w:pPr>
          </w:p>
          <w:p w14:paraId="5B3AE87F" w14:textId="77777777" w:rsidR="00CF41E4" w:rsidRPr="00E549A4" w:rsidRDefault="00CF41E4" w:rsidP="00B13A9F">
            <w:pPr>
              <w:spacing w:after="0" w:line="240" w:lineRule="auto"/>
              <w:jc w:val="center"/>
              <w:rPr>
                <w:rFonts w:ascii="Calibri" w:eastAsia="Times New Roman" w:hAnsi="Calibri" w:cs="Times New Roman"/>
                <w:sz w:val="20"/>
                <w:szCs w:val="20"/>
                <w:lang w:val="es-ES"/>
              </w:rPr>
            </w:pPr>
          </w:p>
          <w:p w14:paraId="103A35EB" w14:textId="55D742A0" w:rsidR="00CF41E4" w:rsidRPr="00E549A4" w:rsidRDefault="00CF41E4" w:rsidP="00F00DBB">
            <w:pPr>
              <w:spacing w:after="0" w:line="240" w:lineRule="auto"/>
              <w:rPr>
                <w:rFonts w:ascii="Calibri" w:eastAsia="Times New Roman" w:hAnsi="Calibri" w:cs="Times New Roman"/>
                <w:sz w:val="20"/>
                <w:szCs w:val="20"/>
                <w:lang w:val="es-ES"/>
              </w:rPr>
            </w:pPr>
            <w:r w:rsidRPr="00E549A4">
              <w:rPr>
                <w:rFonts w:ascii="Calibri" w:eastAsia="Times New Roman" w:hAnsi="Calibri" w:cs="Times New Roman"/>
                <w:sz w:val="20"/>
                <w:szCs w:val="20"/>
                <w:lang w:val="es"/>
              </w:rPr>
              <w:t xml:space="preserve"> </w:t>
            </w:r>
          </w:p>
        </w:tc>
      </w:tr>
    </w:tbl>
    <w:p w14:paraId="3AE49EF5" w14:textId="108D4FCB" w:rsidR="001F7629" w:rsidRPr="00E549A4" w:rsidRDefault="001F7629" w:rsidP="00B13A9F">
      <w:pPr>
        <w:spacing w:after="0" w:line="240" w:lineRule="auto"/>
        <w:rPr>
          <w:rFonts w:ascii="Calibri" w:eastAsia="Times New Roman" w:hAnsi="Calibri" w:cs="Times New Roman"/>
          <w:b/>
          <w:sz w:val="20"/>
          <w:szCs w:val="20"/>
          <w:lang w:val="es-ES"/>
        </w:rPr>
      </w:pPr>
    </w:p>
    <w:p w14:paraId="68E84764" w14:textId="762FAE56" w:rsidR="00B13A9F" w:rsidRPr="00E549A4" w:rsidRDefault="001C7F44" w:rsidP="00B13A9F">
      <w:pPr>
        <w:spacing w:after="0" w:line="240" w:lineRule="auto"/>
        <w:rPr>
          <w:rFonts w:ascii="Calibri" w:eastAsia="Times New Roman" w:hAnsi="Calibri" w:cs="Times New Roman"/>
          <w:b/>
          <w:sz w:val="20"/>
          <w:szCs w:val="20"/>
          <w:lang w:val="es-ES"/>
        </w:rPr>
      </w:pPr>
      <w:r w:rsidRPr="00E549A4">
        <w:rPr>
          <w:rFonts w:ascii="Calibri" w:eastAsia="Times New Roman" w:hAnsi="Calibri" w:cs="Times New Roman"/>
          <w:b/>
          <w:bCs/>
          <w:sz w:val="20"/>
          <w:szCs w:val="20"/>
          <w:lang w:val="es"/>
        </w:rPr>
        <w:t xml:space="preserve">   Persona a cargo de la elaboración del acta: </w:t>
      </w:r>
      <w:r w:rsidRPr="00E549A4">
        <w:rPr>
          <w:rFonts w:ascii="Calibri" w:eastAsia="Times New Roman" w:hAnsi="Calibri" w:cs="Times New Roman"/>
          <w:sz w:val="20"/>
          <w:szCs w:val="20"/>
          <w:lang w:val="es"/>
        </w:rPr>
        <w:t xml:space="preserve">Shana Ferguson </w:t>
      </w:r>
    </w:p>
    <w:p w14:paraId="3207ABA9" w14:textId="63EA87E8" w:rsidR="00B13A9F" w:rsidRPr="00E549A4" w:rsidRDefault="00B13A9F" w:rsidP="00B13A9F">
      <w:pPr>
        <w:spacing w:after="0" w:line="240" w:lineRule="auto"/>
        <w:rPr>
          <w:rFonts w:ascii="Calibri" w:eastAsia="Times New Roman" w:hAnsi="Calibri" w:cs="Times New Roman"/>
          <w:b/>
          <w:sz w:val="20"/>
          <w:szCs w:val="20"/>
          <w:lang w:val="es-ES"/>
        </w:rPr>
      </w:pPr>
      <w:r w:rsidRPr="00E549A4">
        <w:rPr>
          <w:rFonts w:ascii="Calibri" w:eastAsia="Times New Roman" w:hAnsi="Calibri" w:cs="Times New Roman"/>
          <w:b/>
          <w:bCs/>
          <w:sz w:val="20"/>
          <w:szCs w:val="20"/>
          <w:lang w:val="es"/>
        </w:rPr>
        <w:t xml:space="preserve">   Persona a cargo de la presentación del acta: </w:t>
      </w:r>
      <w:proofErr w:type="spellStart"/>
      <w:r w:rsidRPr="00E549A4">
        <w:rPr>
          <w:rFonts w:ascii="Calibri" w:eastAsia="Times New Roman" w:hAnsi="Calibri" w:cs="Times New Roman"/>
          <w:sz w:val="20"/>
          <w:szCs w:val="20"/>
          <w:lang w:val="es"/>
        </w:rPr>
        <w:t>Starleen</w:t>
      </w:r>
      <w:proofErr w:type="spellEnd"/>
      <w:r w:rsidRPr="00E549A4">
        <w:rPr>
          <w:rFonts w:ascii="Calibri" w:eastAsia="Times New Roman" w:hAnsi="Calibri" w:cs="Times New Roman"/>
          <w:sz w:val="20"/>
          <w:szCs w:val="20"/>
          <w:lang w:val="es"/>
        </w:rPr>
        <w:t xml:space="preserve"> </w:t>
      </w:r>
      <w:proofErr w:type="spellStart"/>
      <w:r w:rsidRPr="00E549A4">
        <w:rPr>
          <w:rFonts w:ascii="Calibri" w:eastAsia="Times New Roman" w:hAnsi="Calibri" w:cs="Times New Roman"/>
          <w:sz w:val="20"/>
          <w:szCs w:val="20"/>
          <w:lang w:val="es"/>
        </w:rPr>
        <w:t>Maharaj</w:t>
      </w:r>
      <w:proofErr w:type="spellEnd"/>
      <w:r w:rsidRPr="00E549A4">
        <w:rPr>
          <w:rFonts w:ascii="Calibri" w:eastAsia="Times New Roman" w:hAnsi="Calibri" w:cs="Times New Roman"/>
          <w:sz w:val="20"/>
          <w:szCs w:val="20"/>
          <w:lang w:val="es"/>
        </w:rPr>
        <w:t>-Lewis</w:t>
      </w:r>
    </w:p>
    <w:p w14:paraId="709AA24E" w14:textId="3835433E" w:rsidR="00425F2B" w:rsidRPr="00E549A4" w:rsidRDefault="00B13A9F" w:rsidP="00A87A55">
      <w:pPr>
        <w:spacing w:after="0" w:line="240" w:lineRule="auto"/>
        <w:rPr>
          <w:rFonts w:ascii="Calibri" w:eastAsia="Times New Roman" w:hAnsi="Calibri" w:cs="Times New Roman"/>
          <w:b/>
          <w:sz w:val="20"/>
          <w:szCs w:val="20"/>
          <w:lang w:val="es-ES"/>
        </w:rPr>
      </w:pPr>
      <w:r w:rsidRPr="00E549A4">
        <w:rPr>
          <w:rFonts w:ascii="Calibri" w:eastAsia="Times New Roman" w:hAnsi="Calibri" w:cs="Times New Roman"/>
          <w:b/>
          <w:bCs/>
          <w:sz w:val="20"/>
          <w:szCs w:val="20"/>
          <w:lang w:val="es"/>
        </w:rPr>
        <w:t xml:space="preserve">   Directores a cargo de la revisión y la aprobación del acta: </w:t>
      </w:r>
      <w:r w:rsidRPr="00E549A4">
        <w:rPr>
          <w:rFonts w:ascii="Calibri" w:eastAsia="Times New Roman" w:hAnsi="Calibri" w:cs="Times New Roman"/>
          <w:sz w:val="20"/>
          <w:szCs w:val="20"/>
          <w:lang w:val="es"/>
        </w:rPr>
        <w:t>Howard Russell, Monte Levine,</w:t>
      </w:r>
      <w:r w:rsidRPr="00E549A4">
        <w:rPr>
          <w:rFonts w:ascii="Calibri" w:eastAsia="Times New Roman" w:hAnsi="Calibri" w:cs="Times New Roman"/>
          <w:b/>
          <w:bCs/>
          <w:sz w:val="20"/>
          <w:szCs w:val="20"/>
          <w:lang w:val="es"/>
        </w:rPr>
        <w:t xml:space="preserve"> </w:t>
      </w:r>
      <w:r w:rsidRPr="00E549A4">
        <w:rPr>
          <w:rFonts w:ascii="Calibri" w:eastAsia="Times New Roman" w:hAnsi="Calibri" w:cs="Times New Roman"/>
          <w:sz w:val="20"/>
          <w:szCs w:val="20"/>
          <w:lang w:val="es"/>
        </w:rPr>
        <w:t xml:space="preserve">Beth </w:t>
      </w:r>
      <w:proofErr w:type="spellStart"/>
      <w:r w:rsidRPr="00E549A4">
        <w:rPr>
          <w:rFonts w:ascii="Calibri" w:eastAsia="Times New Roman" w:hAnsi="Calibri" w:cs="Times New Roman"/>
          <w:sz w:val="20"/>
          <w:szCs w:val="20"/>
          <w:lang w:val="es"/>
        </w:rPr>
        <w:t>Crutsinger</w:t>
      </w:r>
      <w:proofErr w:type="spellEnd"/>
      <w:r w:rsidRPr="00E549A4">
        <w:rPr>
          <w:rFonts w:ascii="Calibri" w:eastAsia="Times New Roman" w:hAnsi="Calibri" w:cs="Times New Roman"/>
          <w:sz w:val="20"/>
          <w:szCs w:val="20"/>
          <w:lang w:val="es"/>
        </w:rPr>
        <w:t>-Perry</w:t>
      </w:r>
      <w:r w:rsidRPr="00E549A4">
        <w:rPr>
          <w:rFonts w:ascii="Calibri" w:eastAsia="Times New Roman" w:hAnsi="Calibri" w:cs="Times New Roman"/>
          <w:b/>
          <w:bCs/>
          <w:sz w:val="20"/>
          <w:szCs w:val="20"/>
          <w:lang w:val="es"/>
        </w:rPr>
        <w:t xml:space="preserve">   </w:t>
      </w:r>
    </w:p>
    <w:sectPr w:rsidR="00425F2B" w:rsidRPr="00E549A4" w:rsidSect="00B13A9F">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898FA" w14:textId="77777777" w:rsidR="002C4D94" w:rsidRDefault="002C4D94" w:rsidP="005C3CB5">
      <w:pPr>
        <w:spacing w:after="0" w:line="240" w:lineRule="auto"/>
      </w:pPr>
      <w:r>
        <w:separator/>
      </w:r>
    </w:p>
  </w:endnote>
  <w:endnote w:type="continuationSeparator" w:id="0">
    <w:p w14:paraId="213BFE03" w14:textId="77777777" w:rsidR="002C4D94" w:rsidRDefault="002C4D94"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F2648" w14:textId="77777777" w:rsidR="002C4D94" w:rsidRDefault="002C4D94" w:rsidP="005C3CB5">
      <w:pPr>
        <w:spacing w:after="0" w:line="240" w:lineRule="auto"/>
      </w:pPr>
      <w:r>
        <w:separator/>
      </w:r>
    </w:p>
  </w:footnote>
  <w:footnote w:type="continuationSeparator" w:id="0">
    <w:p w14:paraId="642AF35F" w14:textId="77777777" w:rsidR="002C4D94" w:rsidRDefault="002C4D94"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ABAF" w14:textId="77777777" w:rsidR="00F30C37" w:rsidRPr="00E549A4" w:rsidRDefault="00F30C37" w:rsidP="00F30C37">
    <w:pPr>
      <w:spacing w:after="0" w:line="240" w:lineRule="auto"/>
      <w:jc w:val="center"/>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 xml:space="preserve">Reunión del Grupo de Planificación </w:t>
    </w:r>
    <w:proofErr w:type="spellStart"/>
    <w:r>
      <w:rPr>
        <w:rFonts w:ascii="Calibri" w:eastAsia="Times New Roman" w:hAnsi="Calibri" w:cs="Times New Roman"/>
        <w:b/>
        <w:bCs/>
        <w:sz w:val="24"/>
        <w:szCs w:val="24"/>
        <w:lang w:val="es"/>
      </w:rPr>
      <w:t>Sindémica</w:t>
    </w:r>
    <w:proofErr w:type="spellEnd"/>
    <w:r>
      <w:rPr>
        <w:rFonts w:ascii="Calibri" w:eastAsia="Times New Roman" w:hAnsi="Calibri" w:cs="Times New Roman"/>
        <w:b/>
        <w:bCs/>
        <w:sz w:val="24"/>
        <w:szCs w:val="24"/>
        <w:lang w:val="es"/>
      </w:rPr>
      <w:t xml:space="preserve"> de Washington</w:t>
    </w:r>
  </w:p>
  <w:p w14:paraId="33A72D3F" w14:textId="3D310323" w:rsidR="00F30C37" w:rsidRPr="00E549A4" w:rsidRDefault="00F30C37" w:rsidP="00F30C37">
    <w:pPr>
      <w:spacing w:after="0" w:line="240" w:lineRule="auto"/>
      <w:jc w:val="center"/>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Notas o acta</w:t>
    </w:r>
  </w:p>
  <w:p w14:paraId="61365BBD" w14:textId="444A386E" w:rsidR="00F30C37" w:rsidRPr="00E549A4" w:rsidRDefault="00E115A6" w:rsidP="00E115A6">
    <w:pPr>
      <w:pStyle w:val="Header"/>
      <w:jc w:val="center"/>
      <w:rPr>
        <w:rFonts w:ascii="Calibri" w:eastAsia="Times New Roman" w:hAnsi="Calibri" w:cs="Times New Roman"/>
        <w:b/>
        <w:bCs/>
        <w:sz w:val="24"/>
        <w:szCs w:val="24"/>
        <w:lang w:val="es-ES"/>
      </w:rPr>
    </w:pPr>
    <w:r>
      <w:rPr>
        <w:rFonts w:ascii="Calibri" w:eastAsia="Times New Roman" w:hAnsi="Calibri" w:cs="Times New Roman"/>
        <w:b/>
        <w:bCs/>
        <w:sz w:val="24"/>
        <w:szCs w:val="24"/>
        <w:lang w:val="es"/>
      </w:rPr>
      <w:t>Fecha y hora:   26 de marzo de 2024, de 6:00 p. m. a 7:30 p. m. (horario de verano del Pacífico)</w:t>
    </w:r>
  </w:p>
  <w:p w14:paraId="13F45031" w14:textId="77777777" w:rsidR="00E115A6" w:rsidRPr="00E549A4" w:rsidRDefault="00E115A6" w:rsidP="00E115A6">
    <w:pPr>
      <w:pStyle w:val="Heade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639"/>
    <w:multiLevelType w:val="hybridMultilevel"/>
    <w:tmpl w:val="BDF6FE6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4310D62"/>
    <w:multiLevelType w:val="hybridMultilevel"/>
    <w:tmpl w:val="34FE80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641F9"/>
    <w:multiLevelType w:val="hybridMultilevel"/>
    <w:tmpl w:val="B10CC7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106E6"/>
    <w:multiLevelType w:val="hybridMultilevel"/>
    <w:tmpl w:val="BAF86B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DA3B41"/>
    <w:multiLevelType w:val="hybridMultilevel"/>
    <w:tmpl w:val="C04A90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E16181"/>
    <w:multiLevelType w:val="hybridMultilevel"/>
    <w:tmpl w:val="D0D86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0232"/>
    <w:multiLevelType w:val="hybridMultilevel"/>
    <w:tmpl w:val="CECCE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F46DC"/>
    <w:multiLevelType w:val="hybridMultilevel"/>
    <w:tmpl w:val="5BC04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FD76DF"/>
    <w:multiLevelType w:val="hybridMultilevel"/>
    <w:tmpl w:val="3FBA1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9F5A3E"/>
    <w:multiLevelType w:val="hybridMultilevel"/>
    <w:tmpl w:val="9B56D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CA6458"/>
    <w:multiLevelType w:val="hybridMultilevel"/>
    <w:tmpl w:val="77BE55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32DE2192"/>
    <w:multiLevelType w:val="hybridMultilevel"/>
    <w:tmpl w:val="6A6E9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066B58"/>
    <w:multiLevelType w:val="hybridMultilevel"/>
    <w:tmpl w:val="CBA62B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F2B5F"/>
    <w:multiLevelType w:val="hybridMultilevel"/>
    <w:tmpl w:val="3F249C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7475C3"/>
    <w:multiLevelType w:val="hybridMultilevel"/>
    <w:tmpl w:val="0E506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F052726"/>
    <w:multiLevelType w:val="hybridMultilevel"/>
    <w:tmpl w:val="FB44E54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504F35E9"/>
    <w:multiLevelType w:val="hybridMultilevel"/>
    <w:tmpl w:val="D24EA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A3CF9"/>
    <w:multiLevelType w:val="hybridMultilevel"/>
    <w:tmpl w:val="DE889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FA34DC"/>
    <w:multiLevelType w:val="hybridMultilevel"/>
    <w:tmpl w:val="5004F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4743B"/>
    <w:multiLevelType w:val="hybridMultilevel"/>
    <w:tmpl w:val="C474399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5B405E0"/>
    <w:multiLevelType w:val="hybridMultilevel"/>
    <w:tmpl w:val="9CFC1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F06F9D"/>
    <w:multiLevelType w:val="hybridMultilevel"/>
    <w:tmpl w:val="6576BD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553D14"/>
    <w:multiLevelType w:val="hybridMultilevel"/>
    <w:tmpl w:val="49944A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934B0C"/>
    <w:multiLevelType w:val="hybridMultilevel"/>
    <w:tmpl w:val="FB209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093760">
    <w:abstractNumId w:val="2"/>
  </w:num>
  <w:num w:numId="2" w16cid:durableId="154302863">
    <w:abstractNumId w:val="13"/>
  </w:num>
  <w:num w:numId="3" w16cid:durableId="1601334289">
    <w:abstractNumId w:val="22"/>
  </w:num>
  <w:num w:numId="4" w16cid:durableId="1727336406">
    <w:abstractNumId w:val="23"/>
  </w:num>
  <w:num w:numId="5" w16cid:durableId="1828400830">
    <w:abstractNumId w:val="3"/>
  </w:num>
  <w:num w:numId="6" w16cid:durableId="1949046203">
    <w:abstractNumId w:val="21"/>
  </w:num>
  <w:num w:numId="7" w16cid:durableId="212012505">
    <w:abstractNumId w:val="6"/>
  </w:num>
  <w:num w:numId="8" w16cid:durableId="68162924">
    <w:abstractNumId w:val="11"/>
  </w:num>
  <w:num w:numId="9" w16cid:durableId="1194924839">
    <w:abstractNumId w:val="4"/>
  </w:num>
  <w:num w:numId="10" w16cid:durableId="2005015075">
    <w:abstractNumId w:val="14"/>
  </w:num>
  <w:num w:numId="11" w16cid:durableId="515122607">
    <w:abstractNumId w:val="7"/>
  </w:num>
  <w:num w:numId="12" w16cid:durableId="2065638686">
    <w:abstractNumId w:val="20"/>
  </w:num>
  <w:num w:numId="13" w16cid:durableId="1294099594">
    <w:abstractNumId w:val="8"/>
  </w:num>
  <w:num w:numId="14" w16cid:durableId="228466671">
    <w:abstractNumId w:val="12"/>
  </w:num>
  <w:num w:numId="15" w16cid:durableId="1516533996">
    <w:abstractNumId w:val="9"/>
  </w:num>
  <w:num w:numId="16" w16cid:durableId="2088376403">
    <w:abstractNumId w:val="5"/>
  </w:num>
  <w:num w:numId="17" w16cid:durableId="1972326197">
    <w:abstractNumId w:val="0"/>
  </w:num>
  <w:num w:numId="18" w16cid:durableId="1474831461">
    <w:abstractNumId w:val="16"/>
  </w:num>
  <w:num w:numId="19" w16cid:durableId="1355498483">
    <w:abstractNumId w:val="1"/>
  </w:num>
  <w:num w:numId="20" w16cid:durableId="436369087">
    <w:abstractNumId w:val="17"/>
  </w:num>
  <w:num w:numId="21" w16cid:durableId="1881160542">
    <w:abstractNumId w:val="19"/>
  </w:num>
  <w:num w:numId="22" w16cid:durableId="2003847550">
    <w:abstractNumId w:val="10"/>
  </w:num>
  <w:num w:numId="23" w16cid:durableId="888958822">
    <w:abstractNumId w:val="15"/>
  </w:num>
  <w:num w:numId="24" w16cid:durableId="19579538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C2NDQzNjA2N7dQ0lEKTi0uzszPAykwqgUAWLtaUSwAAAA="/>
  </w:docVars>
  <w:rsids>
    <w:rsidRoot w:val="00B13A9F"/>
    <w:rsid w:val="000571F2"/>
    <w:rsid w:val="0009478A"/>
    <w:rsid w:val="00095DC1"/>
    <w:rsid w:val="000A0B08"/>
    <w:rsid w:val="000B4BB5"/>
    <w:rsid w:val="000B4CB5"/>
    <w:rsid w:val="000E1817"/>
    <w:rsid w:val="000E666B"/>
    <w:rsid w:val="000F2D72"/>
    <w:rsid w:val="000F569A"/>
    <w:rsid w:val="00105F24"/>
    <w:rsid w:val="00162624"/>
    <w:rsid w:val="001954C1"/>
    <w:rsid w:val="001B6D7F"/>
    <w:rsid w:val="001C7F44"/>
    <w:rsid w:val="001D0E6A"/>
    <w:rsid w:val="001D3009"/>
    <w:rsid w:val="001F386E"/>
    <w:rsid w:val="001F7629"/>
    <w:rsid w:val="00213A2F"/>
    <w:rsid w:val="00227E3B"/>
    <w:rsid w:val="00241789"/>
    <w:rsid w:val="00252178"/>
    <w:rsid w:val="0025336D"/>
    <w:rsid w:val="00255035"/>
    <w:rsid w:val="00263CF2"/>
    <w:rsid w:val="00264E35"/>
    <w:rsid w:val="00274C0B"/>
    <w:rsid w:val="002951B7"/>
    <w:rsid w:val="002C4D94"/>
    <w:rsid w:val="002D5661"/>
    <w:rsid w:val="00312AE2"/>
    <w:rsid w:val="00317137"/>
    <w:rsid w:val="00340149"/>
    <w:rsid w:val="00356633"/>
    <w:rsid w:val="003674AD"/>
    <w:rsid w:val="0036753A"/>
    <w:rsid w:val="00370AB7"/>
    <w:rsid w:val="003925A2"/>
    <w:rsid w:val="003E1059"/>
    <w:rsid w:val="004044A4"/>
    <w:rsid w:val="00414D51"/>
    <w:rsid w:val="00415FE3"/>
    <w:rsid w:val="00425F2B"/>
    <w:rsid w:val="004406A3"/>
    <w:rsid w:val="004449F4"/>
    <w:rsid w:val="00445BCA"/>
    <w:rsid w:val="004A5248"/>
    <w:rsid w:val="004D52F0"/>
    <w:rsid w:val="00522C81"/>
    <w:rsid w:val="005C3CB5"/>
    <w:rsid w:val="005C48E5"/>
    <w:rsid w:val="005F1332"/>
    <w:rsid w:val="005F7420"/>
    <w:rsid w:val="0062147E"/>
    <w:rsid w:val="006227F1"/>
    <w:rsid w:val="006275C3"/>
    <w:rsid w:val="006401BF"/>
    <w:rsid w:val="00642A15"/>
    <w:rsid w:val="006522FB"/>
    <w:rsid w:val="00654117"/>
    <w:rsid w:val="00661F18"/>
    <w:rsid w:val="006A1156"/>
    <w:rsid w:val="006B4AD7"/>
    <w:rsid w:val="006C0ACB"/>
    <w:rsid w:val="006D000C"/>
    <w:rsid w:val="0071399B"/>
    <w:rsid w:val="00731357"/>
    <w:rsid w:val="00740ACB"/>
    <w:rsid w:val="007463E5"/>
    <w:rsid w:val="007572A6"/>
    <w:rsid w:val="00772847"/>
    <w:rsid w:val="00775A13"/>
    <w:rsid w:val="0079692B"/>
    <w:rsid w:val="007A4AFD"/>
    <w:rsid w:val="007B1566"/>
    <w:rsid w:val="008204D3"/>
    <w:rsid w:val="00824081"/>
    <w:rsid w:val="0083695C"/>
    <w:rsid w:val="00850C38"/>
    <w:rsid w:val="0087526E"/>
    <w:rsid w:val="00882E74"/>
    <w:rsid w:val="008A62DF"/>
    <w:rsid w:val="008C48CB"/>
    <w:rsid w:val="008D2677"/>
    <w:rsid w:val="009627AE"/>
    <w:rsid w:val="009A1D11"/>
    <w:rsid w:val="009B04FC"/>
    <w:rsid w:val="009F7ADD"/>
    <w:rsid w:val="009F7C84"/>
    <w:rsid w:val="00A138F1"/>
    <w:rsid w:val="00A1783A"/>
    <w:rsid w:val="00A63170"/>
    <w:rsid w:val="00A73BE7"/>
    <w:rsid w:val="00A777DC"/>
    <w:rsid w:val="00A87A55"/>
    <w:rsid w:val="00AC39F7"/>
    <w:rsid w:val="00AD2E2C"/>
    <w:rsid w:val="00B119F6"/>
    <w:rsid w:val="00B13A9F"/>
    <w:rsid w:val="00B216FD"/>
    <w:rsid w:val="00B50447"/>
    <w:rsid w:val="00BA655A"/>
    <w:rsid w:val="00BB0DAF"/>
    <w:rsid w:val="00BB3780"/>
    <w:rsid w:val="00BC51F5"/>
    <w:rsid w:val="00C31C44"/>
    <w:rsid w:val="00C33D12"/>
    <w:rsid w:val="00C429D5"/>
    <w:rsid w:val="00C510C8"/>
    <w:rsid w:val="00C56AE2"/>
    <w:rsid w:val="00C9034B"/>
    <w:rsid w:val="00C95764"/>
    <w:rsid w:val="00CB0800"/>
    <w:rsid w:val="00CB75C9"/>
    <w:rsid w:val="00CC2EC0"/>
    <w:rsid w:val="00CD50AF"/>
    <w:rsid w:val="00CE66D6"/>
    <w:rsid w:val="00CE712D"/>
    <w:rsid w:val="00CF41E4"/>
    <w:rsid w:val="00D215C5"/>
    <w:rsid w:val="00D249AC"/>
    <w:rsid w:val="00D54139"/>
    <w:rsid w:val="00D560C9"/>
    <w:rsid w:val="00D72547"/>
    <w:rsid w:val="00D73E8E"/>
    <w:rsid w:val="00D80F7F"/>
    <w:rsid w:val="00D94F75"/>
    <w:rsid w:val="00DB19EB"/>
    <w:rsid w:val="00DB4E46"/>
    <w:rsid w:val="00DC2B19"/>
    <w:rsid w:val="00DC3F0D"/>
    <w:rsid w:val="00E115A6"/>
    <w:rsid w:val="00E139B7"/>
    <w:rsid w:val="00E33369"/>
    <w:rsid w:val="00E549A4"/>
    <w:rsid w:val="00E55471"/>
    <w:rsid w:val="00E67893"/>
    <w:rsid w:val="00E67EFD"/>
    <w:rsid w:val="00E72D97"/>
    <w:rsid w:val="00E7638E"/>
    <w:rsid w:val="00E947A9"/>
    <w:rsid w:val="00EF1D09"/>
    <w:rsid w:val="00EF32A0"/>
    <w:rsid w:val="00F00DBB"/>
    <w:rsid w:val="00F227DA"/>
    <w:rsid w:val="00F24EA4"/>
    <w:rsid w:val="00F27ADB"/>
    <w:rsid w:val="00F30C37"/>
    <w:rsid w:val="00F43467"/>
    <w:rsid w:val="00F74ACC"/>
    <w:rsid w:val="00FA2879"/>
    <w:rsid w:val="00FB40A4"/>
    <w:rsid w:val="00FD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 w:type="character" w:styleId="FollowedHyperlink">
    <w:name w:val="FollowedHyperlink"/>
    <w:basedOn w:val="DefaultParagraphFont"/>
    <w:uiPriority w:val="99"/>
    <w:semiHidden/>
    <w:unhideWhenUsed/>
    <w:rsid w:val="00E72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IDAdmin@doh.w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los.Johnson@doh.w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2.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45CDF-BDA9-4C30-886F-8774DC50561F}">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bcdeeee3-65fb-416a-958e-7ea13332b4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2613</Words>
  <Characters>13540</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OID-WSPG-General Meeting Minutes-SPAN-March 26, 2024</vt:lpstr>
    </vt:vector>
  </TitlesOfParts>
  <Manager>Starleen Maharaj-Lewis</Manager>
  <Company>DOH/OID/WSPG</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OID-WSPG-General Meeting Minutes-SPAN-March 26, 2024</dc:title>
  <dc:subject>WSPG General Meeting Minutes SPAN 03.26.24</dc:subject>
  <dc:creator>Shana Ferguson</dc:creator>
  <cp:keywords>WSPG, General Meeting Minutes, 03.26.24 SPANISH</cp:keywords>
  <dc:description>Spanish version of WSPG General Meeting Minutes for 03.26.24</dc:description>
  <cp:lastModifiedBy>Grimmett, Genee (DOH)</cp:lastModifiedBy>
  <cp:revision>2</cp:revision>
  <dcterms:created xsi:type="dcterms:W3CDTF">2024-04-04T19:54:00Z</dcterms:created>
  <dcterms:modified xsi:type="dcterms:W3CDTF">2024-04-04T19:54:00Z</dcterms:modified>
  <cp:category>General Meeting Minutes SPAN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