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160" w:type="dxa"/>
        <w:tblInd w:w="-5" w:type="dxa"/>
        <w:tblLayout w:type="fixed"/>
        <w:tblLook w:val="04A0" w:firstRow="1" w:lastRow="0" w:firstColumn="1" w:lastColumn="0" w:noHBand="0" w:noVBand="1"/>
      </w:tblPr>
      <w:tblGrid>
        <w:gridCol w:w="7470"/>
        <w:gridCol w:w="1620"/>
        <w:gridCol w:w="2070"/>
      </w:tblGrid>
      <w:tr w:rsidR="00D7180C" w14:paraId="467B0E1E" w14:textId="77777777" w:rsidTr="00D95DD3">
        <w:trPr>
          <w:trHeight w:val="701"/>
        </w:trPr>
        <w:tc>
          <w:tcPr>
            <w:tcW w:w="11160" w:type="dxa"/>
            <w:gridSpan w:val="3"/>
            <w:tcBorders>
              <w:top w:val="single" w:sz="4" w:space="0" w:color="9CC2E5" w:themeColor="accent1" w:themeTint="99"/>
              <w:left w:val="single" w:sz="4" w:space="0" w:color="9CC2E5" w:themeColor="accent1" w:themeTint="99"/>
              <w:bottom w:val="dashed" w:sz="4" w:space="0" w:color="D0CECE" w:themeColor="background2" w:themeShade="E6"/>
              <w:right w:val="single" w:sz="4" w:space="0" w:color="9CC2E5" w:themeColor="accent1" w:themeTint="99"/>
            </w:tcBorders>
            <w:vAlign w:val="bottom"/>
          </w:tcPr>
          <w:p w14:paraId="0A750630" w14:textId="77777777" w:rsidR="00D7180C" w:rsidRPr="00502049" w:rsidRDefault="00502049" w:rsidP="00502049">
            <w:pPr>
              <w:widowControl w:val="0"/>
              <w:rPr>
                <w:b/>
                <w:bCs/>
                <w:color w:val="FF0000"/>
                <w:sz w:val="48"/>
                <w:szCs w:val="48"/>
                <w14:ligatures w14:val="none"/>
              </w:rPr>
            </w:pPr>
            <w:r>
              <w:rPr>
                <w:b/>
                <w:bCs/>
                <w:color w:val="FF0000"/>
                <w:sz w:val="48"/>
                <w:szCs w:val="48"/>
                <w14:ligatures w14:val="none"/>
              </w:rPr>
              <w:t>Insert Local Health Jurisdiction Logo</w:t>
            </w:r>
          </w:p>
        </w:tc>
      </w:tr>
      <w:tr w:rsidR="00D7180C" w14:paraId="2668AF9A" w14:textId="77777777" w:rsidTr="00D95DD3">
        <w:trPr>
          <w:trHeight w:val="432"/>
        </w:trPr>
        <w:tc>
          <w:tcPr>
            <w:tcW w:w="11160" w:type="dxa"/>
            <w:gridSpan w:val="3"/>
            <w:tcBorders>
              <w:top w:val="dashed" w:sz="4" w:space="0" w:color="D0CECE" w:themeColor="background2" w:themeShade="E6"/>
              <w:left w:val="single" w:sz="4" w:space="0" w:color="9CC2E5" w:themeColor="accent1" w:themeTint="99"/>
              <w:bottom w:val="dashed" w:sz="4" w:space="0" w:color="D0CECE" w:themeColor="background2" w:themeShade="E6"/>
              <w:right w:val="dashed" w:sz="4" w:space="0" w:color="D0CECE" w:themeColor="background2" w:themeShade="E6"/>
            </w:tcBorders>
            <w:shd w:val="clear" w:color="auto" w:fill="000000" w:themeFill="text1"/>
            <w:vAlign w:val="center"/>
          </w:tcPr>
          <w:p w14:paraId="79D974F4" w14:textId="77777777" w:rsidR="00D7180C" w:rsidRPr="00502049" w:rsidRDefault="00502049" w:rsidP="00502049">
            <w:pPr>
              <w:widowControl w:val="0"/>
              <w:rPr>
                <w14:ligatures w14:val="none"/>
              </w:rPr>
            </w:pPr>
            <w:r>
              <w:rPr>
                <w:color w:val="FFFFFF"/>
                <w:sz w:val="32"/>
                <w:szCs w:val="32"/>
                <w14:ligatures w14:val="none"/>
              </w:rPr>
              <w:t>QUICK GUIDE FOR LONG TERM CARE FACILITIES—</w:t>
            </w:r>
            <w:r>
              <w:rPr>
                <w:b/>
                <w:bCs/>
                <w:color w:val="FFFFFF"/>
                <w:sz w:val="36"/>
                <w:szCs w:val="36"/>
                <w14:ligatures w14:val="none"/>
              </w:rPr>
              <w:t>INFLUENZA OUTBREAKS</w:t>
            </w:r>
          </w:p>
        </w:tc>
      </w:tr>
      <w:tr w:rsidR="00B96689" w14:paraId="492500A7" w14:textId="77777777" w:rsidTr="00D95DD3">
        <w:trPr>
          <w:trHeight w:val="404"/>
        </w:trPr>
        <w:tc>
          <w:tcPr>
            <w:tcW w:w="7470" w:type="dxa"/>
            <w:vMerge w:val="restart"/>
            <w:tcBorders>
              <w:top w:val="dashed" w:sz="4" w:space="0" w:color="D0CECE" w:themeColor="background2" w:themeShade="E6"/>
              <w:left w:val="single" w:sz="4" w:space="0" w:color="9CC2E5" w:themeColor="accent1" w:themeTint="99"/>
              <w:right w:val="dashed" w:sz="4" w:space="0" w:color="D0CECE" w:themeColor="background2" w:themeShade="E6"/>
            </w:tcBorders>
          </w:tcPr>
          <w:tbl>
            <w:tblPr>
              <w:tblStyle w:val="TableGrid"/>
              <w:tblW w:w="7182" w:type="dxa"/>
              <w:tblBorders>
                <w:top w:val="dashed" w:sz="4" w:space="0" w:color="D0CECE" w:themeColor="background2" w:themeShade="E6"/>
                <w:left w:val="none" w:sz="0" w:space="0" w:color="auto"/>
                <w:bottom w:val="dashed" w:sz="4" w:space="0" w:color="D0CECE" w:themeColor="background2" w:themeShade="E6"/>
                <w:right w:val="dashed" w:sz="4" w:space="0" w:color="D0CECE" w:themeColor="background2" w:themeShade="E6"/>
                <w:insideH w:val="dashed" w:sz="4" w:space="0" w:color="D0CECE" w:themeColor="background2" w:themeShade="E6"/>
                <w:insideV w:val="dashed" w:sz="4" w:space="0" w:color="D0CECE" w:themeColor="background2" w:themeShade="E6"/>
              </w:tblBorders>
              <w:tblLayout w:type="fixed"/>
              <w:tblLook w:val="04A0" w:firstRow="1" w:lastRow="0" w:firstColumn="1" w:lastColumn="0" w:noHBand="0" w:noVBand="1"/>
            </w:tblPr>
            <w:tblGrid>
              <w:gridCol w:w="7182"/>
            </w:tblGrid>
            <w:tr w:rsidR="00B96689" w14:paraId="4977EDFE" w14:textId="77777777" w:rsidTr="00D338F2">
              <w:trPr>
                <w:trHeight w:val="395"/>
              </w:trPr>
              <w:tc>
                <w:tcPr>
                  <w:tcW w:w="7182" w:type="dxa"/>
                  <w:shd w:val="clear" w:color="auto" w:fill="BDD6EE" w:themeFill="accent1" w:themeFillTint="66"/>
                  <w:vAlign w:val="bottom"/>
                </w:tcPr>
                <w:p w14:paraId="19255D45" w14:textId="77777777" w:rsidR="00B96689" w:rsidRPr="00B96689" w:rsidRDefault="00B96689" w:rsidP="00B96689">
                  <w:pPr>
                    <w:widowControl w:val="0"/>
                    <w:rPr>
                      <w:b/>
                      <w:bCs/>
                      <w:sz w:val="22"/>
                      <w:szCs w:val="22"/>
                      <w14:ligatures w14:val="none"/>
                    </w:rPr>
                  </w:pPr>
                  <w:r>
                    <w:rPr>
                      <w:b/>
                      <w:bCs/>
                      <w:sz w:val="22"/>
                      <w:szCs w:val="22"/>
                      <w14:ligatures w14:val="none"/>
                    </w:rPr>
                    <w:t>INFLUENZA VACCINATION</w:t>
                  </w:r>
                </w:p>
              </w:tc>
            </w:tr>
            <w:tr w:rsidR="00B96689" w14:paraId="33EDE96F" w14:textId="77777777" w:rsidTr="00D338F2">
              <w:trPr>
                <w:trHeight w:val="1754"/>
              </w:trPr>
              <w:tc>
                <w:tcPr>
                  <w:tcW w:w="7182" w:type="dxa"/>
                  <w:vAlign w:val="center"/>
                </w:tcPr>
                <w:p w14:paraId="18F1FF85" w14:textId="77777777" w:rsidR="00B96689" w:rsidRDefault="00B96689" w:rsidP="00B96689">
                  <w:pPr>
                    <w:widowControl w:val="0"/>
                    <w:spacing w:after="80" w:line="223" w:lineRule="auto"/>
                    <w:rPr>
                      <w:sz w:val="19"/>
                      <w:szCs w:val="19"/>
                      <w14:ligatures w14:val="none"/>
                    </w:rPr>
                  </w:pPr>
                  <w:r>
                    <w:rPr>
                      <w:b/>
                      <w:bCs/>
                      <w:sz w:val="19"/>
                      <w:szCs w:val="19"/>
                      <w14:ligatures w14:val="none"/>
                    </w:rPr>
                    <w:t xml:space="preserve">Vaccinations can decrease likelihood of an outbreak, and in the event of an outbreak, can decrease hospitalizations and deaths among residents. </w:t>
                  </w:r>
                  <w:r>
                    <w:rPr>
                      <w:sz w:val="19"/>
                      <w:szCs w:val="19"/>
                      <w14:ligatures w14:val="none"/>
                    </w:rPr>
                    <w:t>The Centers for Disease Control and Prevention (CDC) recommends annual influenza vaccination for everyone 6 months and older, especially for residents and staff of long term care facilities.</w:t>
                  </w:r>
                </w:p>
                <w:p w14:paraId="16E4476B" w14:textId="77777777" w:rsidR="00B96689" w:rsidRDefault="00B96689" w:rsidP="00B96689">
                  <w:pPr>
                    <w:widowControl w:val="0"/>
                    <w:spacing w:after="80" w:line="223" w:lineRule="auto"/>
                    <w:ind w:left="360" w:hanging="360"/>
                    <w:rPr>
                      <w:sz w:val="19"/>
                      <w:szCs w:val="19"/>
                      <w14:ligatures w14:val="none"/>
                    </w:rPr>
                  </w:pPr>
                  <w:r>
                    <w:rPr>
                      <w:rFonts w:ascii="Symbol" w:hAnsi="Symbol"/>
                      <w:lang w:val="x-none"/>
                    </w:rPr>
                    <w:t></w:t>
                  </w:r>
                  <w:r>
                    <w:t xml:space="preserve"> </w:t>
                  </w:r>
                  <w:r>
                    <w:rPr>
                      <w:sz w:val="19"/>
                      <w:szCs w:val="19"/>
                      <w14:ligatures w14:val="none"/>
                    </w:rPr>
                    <w:t>Vaccinate newly admitted residents and newly hired staff throughout the flu season.</w:t>
                  </w:r>
                </w:p>
                <w:p w14:paraId="4E948CE4" w14:textId="5F15B640" w:rsidR="00B96689" w:rsidRPr="00B96689" w:rsidRDefault="00B96689" w:rsidP="00B96689">
                  <w:pPr>
                    <w:widowControl w:val="0"/>
                    <w:spacing w:after="160" w:line="223" w:lineRule="auto"/>
                    <w:ind w:left="360" w:hanging="360"/>
                    <w:rPr>
                      <w:sz w:val="19"/>
                      <w:szCs w:val="19"/>
                      <w14:ligatures w14:val="none"/>
                    </w:rPr>
                  </w:pPr>
                  <w:r>
                    <w:rPr>
                      <w:rFonts w:ascii="Symbol" w:hAnsi="Symbol"/>
                      <w:lang w:val="x-none"/>
                    </w:rPr>
                    <w:t></w:t>
                  </w:r>
                  <w:r>
                    <w:t xml:space="preserve"> </w:t>
                  </w:r>
                  <w:r>
                    <w:rPr>
                      <w:sz w:val="19"/>
                      <w:szCs w:val="19"/>
                      <w14:ligatures w14:val="none"/>
                    </w:rPr>
                    <w:t>Keep a record of vaccination status of residents and staff</w:t>
                  </w:r>
                  <w:r w:rsidR="0085387C">
                    <w:rPr>
                      <w:sz w:val="19"/>
                      <w:szCs w:val="19"/>
                      <w14:ligatures w14:val="none"/>
                    </w:rPr>
                    <w:t>, and schedule annual vaccine.</w:t>
                  </w:r>
                </w:p>
              </w:tc>
            </w:tr>
            <w:tr w:rsidR="00B96689" w14:paraId="173B9759" w14:textId="77777777" w:rsidTr="00D338F2">
              <w:trPr>
                <w:trHeight w:val="422"/>
              </w:trPr>
              <w:tc>
                <w:tcPr>
                  <w:tcW w:w="7182" w:type="dxa"/>
                  <w:shd w:val="clear" w:color="auto" w:fill="BDD6EE" w:themeFill="accent1" w:themeFillTint="66"/>
                  <w:vAlign w:val="bottom"/>
                </w:tcPr>
                <w:p w14:paraId="492122A9" w14:textId="77777777" w:rsidR="00B96689" w:rsidRPr="00B96689" w:rsidRDefault="00B96689" w:rsidP="00B96689">
                  <w:pPr>
                    <w:widowControl w:val="0"/>
                    <w:rPr>
                      <w:b/>
                      <w:bCs/>
                      <w:sz w:val="22"/>
                      <w:szCs w:val="22"/>
                      <w14:ligatures w14:val="none"/>
                    </w:rPr>
                  </w:pPr>
                  <w:r>
                    <w:rPr>
                      <w:b/>
                      <w:bCs/>
                      <w:sz w:val="22"/>
                      <w:szCs w:val="22"/>
                      <w14:ligatures w14:val="none"/>
                    </w:rPr>
                    <w:t>DIAGNOSIS</w:t>
                  </w:r>
                </w:p>
              </w:tc>
            </w:tr>
            <w:tr w:rsidR="00B96689" w14:paraId="64B803CB" w14:textId="77777777" w:rsidTr="00E0598C">
              <w:trPr>
                <w:trHeight w:val="3122"/>
              </w:trPr>
              <w:tc>
                <w:tcPr>
                  <w:tcW w:w="7182" w:type="dxa"/>
                  <w:vAlign w:val="center"/>
                </w:tcPr>
                <w:p w14:paraId="6429DEA9" w14:textId="77777777" w:rsidR="00D3302D" w:rsidRDefault="00D3302D" w:rsidP="00D3302D">
                  <w:pPr>
                    <w:widowControl w:val="0"/>
                    <w:spacing w:after="80" w:line="223" w:lineRule="auto"/>
                    <w:rPr>
                      <w:sz w:val="19"/>
                      <w:szCs w:val="19"/>
                      <w14:ligatures w14:val="none"/>
                    </w:rPr>
                  </w:pPr>
                  <w:r>
                    <w:rPr>
                      <w:sz w:val="19"/>
                      <w:szCs w:val="19"/>
                      <w14:ligatures w14:val="none"/>
                    </w:rPr>
                    <w:t>Common symptoms of influenza include: fever, fatigue, headache, cough, sore throat, runny or stuffy nose, chills, and muscle aches.</w:t>
                  </w:r>
                </w:p>
                <w:p w14:paraId="354FF57A" w14:textId="77777777" w:rsidR="00D3302D" w:rsidRDefault="00D3302D" w:rsidP="00D3302D">
                  <w:pPr>
                    <w:widowControl w:val="0"/>
                    <w:spacing w:after="80" w:line="223" w:lineRule="auto"/>
                    <w:rPr>
                      <w:sz w:val="19"/>
                      <w:szCs w:val="19"/>
                      <w14:ligatures w14:val="none"/>
                    </w:rPr>
                  </w:pPr>
                  <w:r>
                    <w:rPr>
                      <w:sz w:val="19"/>
                      <w:szCs w:val="19"/>
                      <w14:ligatures w14:val="none"/>
                    </w:rPr>
                    <w:t>Elderly patients may experience more subtle symptoms, including anorexia, mental status changes, pneumonia, low-grade or no fever, worsening of chronic respiratory conditions or congestive heart failure.</w:t>
                  </w:r>
                </w:p>
                <w:p w14:paraId="57891B5E" w14:textId="77777777" w:rsidR="00D3302D" w:rsidRDefault="00D3302D" w:rsidP="00D3302D">
                  <w:pPr>
                    <w:widowControl w:val="0"/>
                    <w:spacing w:after="80" w:line="223" w:lineRule="auto"/>
                    <w:rPr>
                      <w:b/>
                      <w:bCs/>
                      <w:sz w:val="19"/>
                      <w:szCs w:val="19"/>
                      <w14:ligatures w14:val="none"/>
                    </w:rPr>
                  </w:pPr>
                  <w:r>
                    <w:rPr>
                      <w:b/>
                      <w:bCs/>
                      <w:sz w:val="19"/>
                      <w:szCs w:val="19"/>
                      <w14:ligatures w14:val="none"/>
                    </w:rPr>
                    <w:t>Familiarize yourself with signs and symptoms of influenza-like illness in the elderly.</w:t>
                  </w:r>
                </w:p>
                <w:p w14:paraId="41EBBB04" w14:textId="77777777" w:rsidR="00B96689" w:rsidRDefault="00D3302D" w:rsidP="00D3302D">
                  <w:pPr>
                    <w:widowControl w:val="0"/>
                    <w:spacing w:after="40" w:line="223" w:lineRule="auto"/>
                    <w:rPr>
                      <w:sz w:val="19"/>
                      <w:szCs w:val="19"/>
                      <w14:ligatures w14:val="none"/>
                    </w:rPr>
                  </w:pPr>
                  <w:r>
                    <w:rPr>
                      <w:sz w:val="19"/>
                      <w:szCs w:val="19"/>
                      <w14:ligatures w14:val="none"/>
                    </w:rPr>
                    <w:t>Even if influenza activity is low in the community, influenza testing should occur when any resident has signs and symptoms that could be due to influenza, and especially when two residents or more develop respiratory illness within 72 hours of each other.</w:t>
                  </w:r>
                </w:p>
                <w:p w14:paraId="0B726871" w14:textId="77777777" w:rsidR="00E0598C" w:rsidRPr="0060569E" w:rsidRDefault="00E0598C" w:rsidP="00E0598C">
                  <w:pPr>
                    <w:widowControl w:val="0"/>
                    <w:spacing w:after="40" w:line="223" w:lineRule="auto"/>
                    <w:rPr>
                      <w:color w:val="auto"/>
                      <w:sz w:val="19"/>
                      <w:szCs w:val="19"/>
                      <w14:ligatures w14:val="none"/>
                    </w:rPr>
                  </w:pPr>
                  <w:r w:rsidRPr="0060569E">
                    <w:rPr>
                      <w:color w:val="auto"/>
                      <w:sz w:val="19"/>
                      <w:szCs w:val="19"/>
                      <w14:ligatures w14:val="none"/>
                    </w:rPr>
                    <w:t>If symptoms are compatible with other agents during periods with high levels of respiratory virus infections, consider testing for COVID-19 or infections with specific treatment available (e.g., legionellosis, other bacterial pneumonia).</w:t>
                  </w:r>
                </w:p>
                <w:p w14:paraId="3F1D5E50" w14:textId="77777777" w:rsidR="00081F69" w:rsidRPr="00D3302D" w:rsidRDefault="00081F69" w:rsidP="00081F69">
                  <w:pPr>
                    <w:widowControl w:val="0"/>
                    <w:spacing w:after="40" w:line="223" w:lineRule="auto"/>
                    <w:rPr>
                      <w:sz w:val="19"/>
                      <w:szCs w:val="19"/>
                      <w14:ligatures w14:val="none"/>
                    </w:rPr>
                  </w:pPr>
                  <w:r w:rsidRPr="0060569E">
                    <w:rPr>
                      <w:color w:val="auto"/>
                      <w:sz w:val="19"/>
                      <w:szCs w:val="19"/>
                      <w14:ligatures w14:val="none"/>
                    </w:rPr>
                    <w:t xml:space="preserve">For more information on COVID-19 outbreaks: </w:t>
                  </w:r>
                  <w:hyperlink r:id="rId7" w:history="1">
                    <w:r w:rsidRPr="0060569E">
                      <w:rPr>
                        <w:rStyle w:val="Hyperlink"/>
                        <w:sz w:val="18"/>
                        <w:szCs w:val="18"/>
                        <w14:ligatures w14:val="none"/>
                      </w:rPr>
                      <w:t>https://www.doh.wa.gov/Emergencies/COVID19/HealthcareProviders/LongTermCareFacilities</w:t>
                    </w:r>
                  </w:hyperlink>
                  <w:r>
                    <w:rPr>
                      <w:color w:val="FF0000"/>
                      <w:sz w:val="19"/>
                      <w:szCs w:val="19"/>
                      <w14:ligatures w14:val="none"/>
                    </w:rPr>
                    <w:t xml:space="preserve"> </w:t>
                  </w:r>
                </w:p>
              </w:tc>
            </w:tr>
            <w:tr w:rsidR="00B96689" w14:paraId="14A7B730" w14:textId="77777777" w:rsidTr="00D338F2">
              <w:trPr>
                <w:trHeight w:val="404"/>
              </w:trPr>
              <w:tc>
                <w:tcPr>
                  <w:tcW w:w="7182" w:type="dxa"/>
                  <w:shd w:val="clear" w:color="auto" w:fill="BDD6EE" w:themeFill="accent1" w:themeFillTint="66"/>
                  <w:vAlign w:val="bottom"/>
                </w:tcPr>
                <w:p w14:paraId="02766FB2" w14:textId="77777777" w:rsidR="00B96689" w:rsidRPr="00D3302D" w:rsidRDefault="00D3302D" w:rsidP="00D3302D">
                  <w:pPr>
                    <w:widowControl w:val="0"/>
                    <w:rPr>
                      <w:b/>
                      <w:bCs/>
                      <w:sz w:val="22"/>
                      <w:szCs w:val="22"/>
                      <w14:ligatures w14:val="none"/>
                    </w:rPr>
                  </w:pPr>
                  <w:r>
                    <w:rPr>
                      <w:b/>
                      <w:bCs/>
                      <w:sz w:val="22"/>
                      <w:szCs w:val="22"/>
                      <w14:ligatures w14:val="none"/>
                    </w:rPr>
                    <w:t>TREATMENT vs. PROPHYLAXIS</w:t>
                  </w:r>
                </w:p>
              </w:tc>
            </w:tr>
            <w:tr w:rsidR="00B96689" w14:paraId="712F810F" w14:textId="77777777" w:rsidTr="009A125A">
              <w:trPr>
                <w:trHeight w:val="2402"/>
              </w:trPr>
              <w:tc>
                <w:tcPr>
                  <w:tcW w:w="7182" w:type="dxa"/>
                  <w:vAlign w:val="bottom"/>
                </w:tcPr>
                <w:p w14:paraId="012B76C6" w14:textId="396931A7" w:rsidR="00D3302D" w:rsidRDefault="00D3302D" w:rsidP="00D3302D">
                  <w:pPr>
                    <w:widowControl w:val="0"/>
                    <w:spacing w:after="80" w:line="223" w:lineRule="auto"/>
                    <w:rPr>
                      <w:sz w:val="19"/>
                      <w:szCs w:val="19"/>
                      <w14:ligatures w14:val="none"/>
                    </w:rPr>
                  </w:pPr>
                  <w:r>
                    <w:rPr>
                      <w:b/>
                      <w:bCs/>
                      <w:sz w:val="19"/>
                      <w:szCs w:val="19"/>
                      <w14:ligatures w14:val="none"/>
                    </w:rPr>
                    <w:t xml:space="preserve">Antiviral Treatment: </w:t>
                  </w:r>
                  <w:r>
                    <w:rPr>
                      <w:sz w:val="19"/>
                      <w:szCs w:val="19"/>
                      <w14:ligatures w14:val="none"/>
                    </w:rPr>
                    <w:t xml:space="preserve">Give antiviral medication to all residents and staff with </w:t>
                  </w:r>
                  <w:r w:rsidRPr="00504F46">
                    <w:rPr>
                      <w:b/>
                      <w:bCs/>
                      <w:sz w:val="19"/>
                      <w:szCs w:val="19"/>
                      <w14:ligatures w14:val="none"/>
                    </w:rPr>
                    <w:t>confirmed or</w:t>
                  </w:r>
                  <w:r>
                    <w:rPr>
                      <w:b/>
                      <w:bCs/>
                      <w:sz w:val="19"/>
                      <w:szCs w:val="19"/>
                      <w14:ligatures w14:val="none"/>
                    </w:rPr>
                    <w:t xml:space="preserve"> suspected </w:t>
                  </w:r>
                  <w:r>
                    <w:rPr>
                      <w:sz w:val="19"/>
                      <w:szCs w:val="19"/>
                      <w14:ligatures w14:val="none"/>
                    </w:rPr>
                    <w:t xml:space="preserve">influenza-like illness. Antiviral treatment can shorten the duration of fever, illness symptoms, and hospitalizations, and may reduce the risk of complications such as pneumonia and respiratory failure or death. </w:t>
                  </w:r>
                </w:p>
                <w:p w14:paraId="7B78353C" w14:textId="635460FB" w:rsidR="00D3302D" w:rsidRDefault="00D3302D" w:rsidP="00D3302D">
                  <w:pPr>
                    <w:widowControl w:val="0"/>
                    <w:spacing w:after="80" w:line="223" w:lineRule="auto"/>
                    <w:rPr>
                      <w:sz w:val="19"/>
                      <w:szCs w:val="19"/>
                      <w14:ligatures w14:val="none"/>
                    </w:rPr>
                  </w:pPr>
                  <w:r>
                    <w:rPr>
                      <w:b/>
                      <w:bCs/>
                      <w:sz w:val="19"/>
                      <w:szCs w:val="19"/>
                      <w14:ligatures w14:val="none"/>
                    </w:rPr>
                    <w:t>Do not wait for laboratory results to initiate treatment.</w:t>
                  </w:r>
                </w:p>
                <w:p w14:paraId="4D9F3E8D" w14:textId="77777777" w:rsidR="00B96689" w:rsidRPr="00D3302D" w:rsidRDefault="00D3302D" w:rsidP="00D3302D">
                  <w:pPr>
                    <w:widowControl w:val="0"/>
                    <w:spacing w:after="80" w:line="223" w:lineRule="auto"/>
                    <w:rPr>
                      <w:sz w:val="19"/>
                      <w:szCs w:val="19"/>
                      <w14:ligatures w14:val="none"/>
                    </w:rPr>
                  </w:pPr>
                  <w:r>
                    <w:rPr>
                      <w:b/>
                      <w:bCs/>
                      <w:sz w:val="19"/>
                      <w:szCs w:val="19"/>
                      <w14:ligatures w14:val="none"/>
                    </w:rPr>
                    <w:t xml:space="preserve">Chemoprophylaxis:  </w:t>
                  </w:r>
                  <w:r>
                    <w:rPr>
                      <w:sz w:val="19"/>
                      <w:szCs w:val="19"/>
                      <w14:ligatures w14:val="none"/>
                    </w:rPr>
                    <w:t>After influenza has been confirmed in your facility, give</w:t>
                  </w:r>
                  <w:r>
                    <w:rPr>
                      <w:b/>
                      <w:bCs/>
                      <w:sz w:val="19"/>
                      <w:szCs w:val="19"/>
                      <w14:ligatures w14:val="none"/>
                    </w:rPr>
                    <w:t xml:space="preserve"> </w:t>
                  </w:r>
                  <w:r>
                    <w:rPr>
                      <w:sz w:val="19"/>
                      <w:szCs w:val="19"/>
                      <w14:ligatures w14:val="none"/>
                    </w:rPr>
                    <w:t>preventative</w:t>
                  </w:r>
                  <w:r>
                    <w:rPr>
                      <w:b/>
                      <w:bCs/>
                      <w:sz w:val="19"/>
                      <w:szCs w:val="19"/>
                      <w14:ligatures w14:val="none"/>
                    </w:rPr>
                    <w:t xml:space="preserve"> </w:t>
                  </w:r>
                  <w:r>
                    <w:rPr>
                      <w:sz w:val="19"/>
                      <w:szCs w:val="19"/>
                      <w14:ligatures w14:val="none"/>
                    </w:rPr>
                    <w:t xml:space="preserve">antiviral medication to non-ill residents (ill residents should be treated with antivirals) and consider for non-ill, unvaccinated staff. Priority can be placed on residents in the same area of the facility as the cases. However, since staff and residents may spread influenza to residents on other units, floors, or buildings of the same facility, all non-ill residents are recommended to receive antiviral chemoprophylaxis to control influenza outbreaks. </w:t>
                  </w:r>
                </w:p>
              </w:tc>
            </w:tr>
          </w:tbl>
          <w:p w14:paraId="4677147C" w14:textId="77777777" w:rsidR="00B96689" w:rsidRDefault="00B96689"/>
        </w:tc>
        <w:tc>
          <w:tcPr>
            <w:tcW w:w="3690"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BDD6EE" w:themeFill="accent1" w:themeFillTint="66"/>
            <w:vAlign w:val="bottom"/>
          </w:tcPr>
          <w:p w14:paraId="6159B296" w14:textId="77777777" w:rsidR="00B96689" w:rsidRPr="00D7180C" w:rsidRDefault="0085387C" w:rsidP="00D7180C">
            <w:pPr>
              <w:jc w:val="center"/>
              <w:rPr>
                <w:b/>
                <w:sz w:val="22"/>
                <w:szCs w:val="22"/>
              </w:rPr>
            </w:pPr>
            <w:r>
              <w:rPr>
                <w:b/>
                <w:sz w:val="22"/>
                <w:szCs w:val="22"/>
              </w:rPr>
              <w:t xml:space="preserve">FLU </w:t>
            </w:r>
            <w:r w:rsidR="00B96689">
              <w:rPr>
                <w:b/>
                <w:sz w:val="22"/>
                <w:szCs w:val="22"/>
              </w:rPr>
              <w:t>AT A GLANCE</w:t>
            </w:r>
          </w:p>
        </w:tc>
      </w:tr>
      <w:tr w:rsidR="00B96689" w14:paraId="74763987" w14:textId="77777777" w:rsidTr="00D95DD3">
        <w:trPr>
          <w:trHeight w:hRule="exact" w:val="432"/>
        </w:trPr>
        <w:tc>
          <w:tcPr>
            <w:tcW w:w="7470" w:type="dxa"/>
            <w:vMerge/>
            <w:tcBorders>
              <w:left w:val="single" w:sz="4" w:space="0" w:color="9CC2E5" w:themeColor="accent1" w:themeTint="99"/>
              <w:right w:val="dashed" w:sz="4" w:space="0" w:color="D0CECE" w:themeColor="background2" w:themeShade="E6"/>
            </w:tcBorders>
          </w:tcPr>
          <w:p w14:paraId="2B96F08B" w14:textId="77777777" w:rsidR="00B96689" w:rsidRDefault="00B96689"/>
        </w:tc>
        <w:tc>
          <w:tcPr>
            <w:tcW w:w="1620" w:type="dxa"/>
            <w:tcBorders>
              <w:top w:val="single" w:sz="4" w:space="0" w:color="9CC2E5" w:themeColor="accent1" w:themeTint="99"/>
              <w:left w:val="single" w:sz="4" w:space="0" w:color="9CC2E5" w:themeColor="accent1" w:themeTint="99"/>
              <w:bottom w:val="single" w:sz="4" w:space="0" w:color="9CC2E5" w:themeColor="accent1" w:themeTint="99"/>
              <w:right w:val="dashed" w:sz="4" w:space="0" w:color="D0CECE" w:themeColor="background2" w:themeShade="E6"/>
            </w:tcBorders>
            <w:vAlign w:val="bottom"/>
          </w:tcPr>
          <w:p w14:paraId="5896D139" w14:textId="77777777" w:rsidR="00B96689" w:rsidRDefault="00B96689" w:rsidP="00D31107">
            <w:pPr>
              <w:widowControl w:val="0"/>
            </w:pPr>
            <w:r>
              <w:rPr>
                <w:b/>
                <w:bCs/>
                <w:sz w:val="18"/>
                <w:szCs w:val="18"/>
                <w14:ligatures w14:val="none"/>
              </w:rPr>
              <w:t>Incubation period:</w:t>
            </w:r>
          </w:p>
        </w:tc>
        <w:tc>
          <w:tcPr>
            <w:tcW w:w="2070" w:type="dxa"/>
            <w:tcBorders>
              <w:top w:val="single" w:sz="4" w:space="0" w:color="9CC2E5" w:themeColor="accent1" w:themeTint="99"/>
              <w:left w:val="dashed" w:sz="4" w:space="0" w:color="D0CECE" w:themeColor="background2" w:themeShade="E6"/>
              <w:bottom w:val="single" w:sz="4" w:space="0" w:color="9CC2E5" w:themeColor="accent1" w:themeTint="99"/>
              <w:right w:val="single" w:sz="4" w:space="0" w:color="9CC2E5" w:themeColor="accent1" w:themeTint="99"/>
            </w:tcBorders>
            <w:vAlign w:val="bottom"/>
          </w:tcPr>
          <w:p w14:paraId="2CE5518C" w14:textId="77777777" w:rsidR="00B96689" w:rsidRPr="00FF09F1" w:rsidRDefault="00B96689">
            <w:pPr>
              <w:rPr>
                <w:sz w:val="18"/>
                <w:szCs w:val="18"/>
              </w:rPr>
            </w:pPr>
            <w:r w:rsidRPr="00FF09F1">
              <w:rPr>
                <w:sz w:val="18"/>
                <w:szCs w:val="18"/>
              </w:rPr>
              <w:t xml:space="preserve">1-4 </w:t>
            </w:r>
            <w:r>
              <w:rPr>
                <w:sz w:val="18"/>
                <w:szCs w:val="18"/>
              </w:rPr>
              <w:t>days (avg. 2)</w:t>
            </w:r>
          </w:p>
        </w:tc>
      </w:tr>
      <w:tr w:rsidR="00B96689" w14:paraId="3CFC8D60" w14:textId="77777777" w:rsidTr="00D95DD3">
        <w:trPr>
          <w:trHeight w:hRule="exact" w:val="749"/>
        </w:trPr>
        <w:tc>
          <w:tcPr>
            <w:tcW w:w="7470" w:type="dxa"/>
            <w:vMerge/>
            <w:tcBorders>
              <w:left w:val="single" w:sz="4" w:space="0" w:color="9CC2E5" w:themeColor="accent1" w:themeTint="99"/>
              <w:right w:val="dashed" w:sz="4" w:space="0" w:color="D0CECE" w:themeColor="background2" w:themeShade="E6"/>
            </w:tcBorders>
          </w:tcPr>
          <w:p w14:paraId="7689EFCB" w14:textId="77777777" w:rsidR="00B96689" w:rsidRDefault="00B96689"/>
        </w:tc>
        <w:tc>
          <w:tcPr>
            <w:tcW w:w="1620" w:type="dxa"/>
            <w:tcBorders>
              <w:top w:val="single" w:sz="4" w:space="0" w:color="9CC2E5" w:themeColor="accent1" w:themeTint="99"/>
              <w:left w:val="single" w:sz="4" w:space="0" w:color="9CC2E5" w:themeColor="accent1" w:themeTint="99"/>
              <w:bottom w:val="single" w:sz="4" w:space="0" w:color="9CC2E5" w:themeColor="accent1" w:themeTint="99"/>
              <w:right w:val="dashed" w:sz="4" w:space="0" w:color="D0CECE" w:themeColor="background2" w:themeShade="E6"/>
            </w:tcBorders>
          </w:tcPr>
          <w:p w14:paraId="24C13369" w14:textId="77777777" w:rsidR="00B96689" w:rsidRPr="00D31107" w:rsidRDefault="00B96689" w:rsidP="00D31107">
            <w:pPr>
              <w:widowControl w:val="0"/>
              <w:spacing w:before="40" w:after="80" w:line="223" w:lineRule="auto"/>
              <w:jc w:val="right"/>
              <w:rPr>
                <w:b/>
                <w:bCs/>
                <w:sz w:val="18"/>
                <w:szCs w:val="18"/>
                <w14:ligatures w14:val="none"/>
              </w:rPr>
            </w:pPr>
            <w:r>
              <w:rPr>
                <w:b/>
                <w:bCs/>
                <w:sz w:val="18"/>
                <w:szCs w:val="18"/>
                <w14:ligatures w14:val="none"/>
              </w:rPr>
              <w:t>Period of communicability:</w:t>
            </w:r>
          </w:p>
        </w:tc>
        <w:tc>
          <w:tcPr>
            <w:tcW w:w="2070" w:type="dxa"/>
            <w:tcBorders>
              <w:top w:val="single" w:sz="4" w:space="0" w:color="9CC2E5" w:themeColor="accent1" w:themeTint="99"/>
              <w:left w:val="dashed" w:sz="4" w:space="0" w:color="D0CECE" w:themeColor="background2" w:themeShade="E6"/>
              <w:bottom w:val="single" w:sz="4" w:space="0" w:color="9CC2E5" w:themeColor="accent1" w:themeTint="99"/>
              <w:right w:val="single" w:sz="4" w:space="0" w:color="9CC2E5" w:themeColor="accent1" w:themeTint="99"/>
            </w:tcBorders>
          </w:tcPr>
          <w:p w14:paraId="22DE15F1" w14:textId="77777777" w:rsidR="00B96689" w:rsidRPr="00FF09F1" w:rsidRDefault="00B96689">
            <w:pPr>
              <w:rPr>
                <w:sz w:val="18"/>
                <w:szCs w:val="18"/>
              </w:rPr>
            </w:pPr>
            <w:r>
              <w:rPr>
                <w:sz w:val="18"/>
                <w:szCs w:val="18"/>
              </w:rPr>
              <w:t>1 day before symptoms start up to 10 days after symptom onset</w:t>
            </w:r>
          </w:p>
        </w:tc>
      </w:tr>
      <w:tr w:rsidR="00B96689" w14:paraId="5C014918" w14:textId="77777777" w:rsidTr="00D95DD3">
        <w:trPr>
          <w:trHeight w:hRule="exact" w:val="1008"/>
        </w:trPr>
        <w:tc>
          <w:tcPr>
            <w:tcW w:w="7470" w:type="dxa"/>
            <w:vMerge/>
            <w:tcBorders>
              <w:left w:val="single" w:sz="4" w:space="0" w:color="9CC2E5" w:themeColor="accent1" w:themeTint="99"/>
              <w:right w:val="dashed" w:sz="4" w:space="0" w:color="D0CECE" w:themeColor="background2" w:themeShade="E6"/>
            </w:tcBorders>
          </w:tcPr>
          <w:p w14:paraId="3FC87903" w14:textId="77777777" w:rsidR="00B96689" w:rsidRDefault="00B96689"/>
        </w:tc>
        <w:tc>
          <w:tcPr>
            <w:tcW w:w="1620" w:type="dxa"/>
            <w:tcBorders>
              <w:top w:val="single" w:sz="4" w:space="0" w:color="9CC2E5" w:themeColor="accent1" w:themeTint="99"/>
              <w:left w:val="single" w:sz="4" w:space="0" w:color="9CC2E5" w:themeColor="accent1" w:themeTint="99"/>
              <w:bottom w:val="single" w:sz="4" w:space="0" w:color="9CC2E5" w:themeColor="accent1" w:themeTint="99"/>
              <w:right w:val="dashed" w:sz="4" w:space="0" w:color="D0CECE" w:themeColor="background2" w:themeShade="E6"/>
            </w:tcBorders>
          </w:tcPr>
          <w:p w14:paraId="08D73977" w14:textId="77777777" w:rsidR="00B96689" w:rsidRDefault="00B96689" w:rsidP="00D31107">
            <w:pPr>
              <w:widowControl w:val="0"/>
              <w:jc w:val="right"/>
            </w:pPr>
            <w:r>
              <w:rPr>
                <w:b/>
                <w:bCs/>
                <w:sz w:val="18"/>
                <w:szCs w:val="18"/>
                <w14:ligatures w14:val="none"/>
              </w:rPr>
              <w:t>Report to Public Health</w:t>
            </w:r>
          </w:p>
        </w:tc>
        <w:tc>
          <w:tcPr>
            <w:tcW w:w="2070" w:type="dxa"/>
            <w:tcBorders>
              <w:top w:val="single" w:sz="4" w:space="0" w:color="9CC2E5" w:themeColor="accent1" w:themeTint="99"/>
              <w:left w:val="dashed" w:sz="4" w:space="0" w:color="D0CECE" w:themeColor="background2" w:themeShade="E6"/>
              <w:bottom w:val="single" w:sz="4" w:space="0" w:color="9CC2E5" w:themeColor="accent1" w:themeTint="99"/>
              <w:right w:val="single" w:sz="4" w:space="0" w:color="9CC2E5" w:themeColor="accent1" w:themeTint="99"/>
            </w:tcBorders>
          </w:tcPr>
          <w:p w14:paraId="43C447BF" w14:textId="77777777" w:rsidR="00B96689" w:rsidRPr="00BF3D11" w:rsidRDefault="00B96689" w:rsidP="00BF3D11">
            <w:pPr>
              <w:widowControl w:val="0"/>
              <w:rPr>
                <w14:ligatures w14:val="none"/>
              </w:rPr>
            </w:pPr>
            <w:r>
              <w:rPr>
                <w:sz w:val="18"/>
                <w:szCs w:val="18"/>
              </w:rPr>
              <w:t xml:space="preserve">Within 1 day of one lab-confirmed case of influenza or </w:t>
            </w:r>
            <w:r>
              <w:rPr>
                <w:sz w:val="18"/>
                <w:szCs w:val="18"/>
                <w14:ligatures w14:val="none"/>
              </w:rPr>
              <w:t>≥ 2 cases of influenza like illness</w:t>
            </w:r>
          </w:p>
        </w:tc>
      </w:tr>
      <w:tr w:rsidR="00B96689" w14:paraId="7405B39E" w14:textId="77777777" w:rsidTr="00D95DD3">
        <w:trPr>
          <w:trHeight w:val="1152"/>
        </w:trPr>
        <w:tc>
          <w:tcPr>
            <w:tcW w:w="7470" w:type="dxa"/>
            <w:vMerge/>
            <w:tcBorders>
              <w:left w:val="single" w:sz="4" w:space="0" w:color="9CC2E5" w:themeColor="accent1" w:themeTint="99"/>
              <w:right w:val="dashed" w:sz="4" w:space="0" w:color="D0CECE" w:themeColor="background2" w:themeShade="E6"/>
            </w:tcBorders>
          </w:tcPr>
          <w:p w14:paraId="385E0E56" w14:textId="77777777" w:rsidR="00B96689" w:rsidRDefault="00B96689"/>
        </w:tc>
        <w:tc>
          <w:tcPr>
            <w:tcW w:w="1620" w:type="dxa"/>
            <w:tcBorders>
              <w:top w:val="single" w:sz="4" w:space="0" w:color="9CC2E5" w:themeColor="accent1" w:themeTint="99"/>
              <w:left w:val="single" w:sz="4" w:space="0" w:color="9CC2E5" w:themeColor="accent1" w:themeTint="99"/>
              <w:bottom w:val="single" w:sz="4" w:space="0" w:color="9CC2E5" w:themeColor="accent1" w:themeTint="99"/>
              <w:right w:val="dashed" w:sz="4" w:space="0" w:color="D0CECE" w:themeColor="background2" w:themeShade="E6"/>
            </w:tcBorders>
          </w:tcPr>
          <w:p w14:paraId="0B58D34F" w14:textId="77777777" w:rsidR="00B96689" w:rsidRPr="00D31107" w:rsidRDefault="00B96689" w:rsidP="00D31107">
            <w:pPr>
              <w:widowControl w:val="0"/>
              <w:spacing w:before="40" w:after="80" w:line="223" w:lineRule="auto"/>
              <w:jc w:val="right"/>
              <w:rPr>
                <w:b/>
                <w:bCs/>
                <w:sz w:val="18"/>
                <w:szCs w:val="18"/>
                <w14:ligatures w14:val="none"/>
              </w:rPr>
            </w:pPr>
            <w:r>
              <w:rPr>
                <w:b/>
                <w:bCs/>
                <w:sz w:val="18"/>
                <w:szCs w:val="18"/>
                <w14:ligatures w14:val="none"/>
              </w:rPr>
              <w:t>Oseltamivir:</w:t>
            </w:r>
          </w:p>
        </w:tc>
        <w:tc>
          <w:tcPr>
            <w:tcW w:w="2070" w:type="dxa"/>
            <w:tcBorders>
              <w:top w:val="single" w:sz="4" w:space="0" w:color="9CC2E5" w:themeColor="accent1" w:themeTint="99"/>
              <w:left w:val="dashed" w:sz="4" w:space="0" w:color="D0CECE" w:themeColor="background2" w:themeShade="E6"/>
              <w:bottom w:val="single" w:sz="4" w:space="0" w:color="9CC2E5" w:themeColor="accent1" w:themeTint="99"/>
              <w:right w:val="single" w:sz="4" w:space="0" w:color="9CC2E5" w:themeColor="accent1" w:themeTint="99"/>
            </w:tcBorders>
          </w:tcPr>
          <w:p w14:paraId="69AF3DE9" w14:textId="77777777" w:rsidR="00B96689" w:rsidRDefault="00B96689" w:rsidP="00BF3D11">
            <w:pPr>
              <w:widowControl w:val="0"/>
              <w:spacing w:before="40" w:after="80" w:line="223" w:lineRule="auto"/>
              <w:rPr>
                <w:sz w:val="18"/>
                <w:szCs w:val="18"/>
                <w14:ligatures w14:val="none"/>
              </w:rPr>
            </w:pPr>
            <w:r>
              <w:rPr>
                <w:b/>
                <w:bCs/>
                <w:sz w:val="18"/>
                <w:szCs w:val="18"/>
                <w14:ligatures w14:val="none"/>
              </w:rPr>
              <w:t xml:space="preserve">Treatment: </w:t>
            </w:r>
            <w:r>
              <w:rPr>
                <w:sz w:val="18"/>
                <w:szCs w:val="18"/>
                <w14:ligatures w14:val="none"/>
              </w:rPr>
              <w:t>75 mg twice daily for 5 days</w:t>
            </w:r>
          </w:p>
          <w:p w14:paraId="02E7070A" w14:textId="77777777" w:rsidR="00B96689" w:rsidRPr="00BF3D11" w:rsidRDefault="00B96689" w:rsidP="00BF3D11">
            <w:pPr>
              <w:widowControl w:val="0"/>
              <w:spacing w:before="40" w:after="80" w:line="223" w:lineRule="auto"/>
              <w:rPr>
                <w:sz w:val="18"/>
                <w:szCs w:val="18"/>
                <w14:ligatures w14:val="none"/>
              </w:rPr>
            </w:pPr>
            <w:r>
              <w:rPr>
                <w:b/>
                <w:bCs/>
                <w:sz w:val="18"/>
                <w:szCs w:val="18"/>
                <w14:ligatures w14:val="none"/>
              </w:rPr>
              <w:t xml:space="preserve">Prophylaxis: </w:t>
            </w:r>
            <w:r>
              <w:rPr>
                <w:sz w:val="18"/>
                <w:szCs w:val="18"/>
                <w14:ligatures w14:val="none"/>
              </w:rPr>
              <w:t xml:space="preserve">75 mg once daily for a minimum of 2 </w:t>
            </w:r>
            <w:proofErr w:type="gramStart"/>
            <w:r>
              <w:rPr>
                <w:sz w:val="18"/>
                <w:szCs w:val="18"/>
                <w14:ligatures w14:val="none"/>
              </w:rPr>
              <w:t>weeks ,</w:t>
            </w:r>
            <w:proofErr w:type="gramEnd"/>
            <w:r>
              <w:rPr>
                <w:sz w:val="18"/>
                <w:szCs w:val="18"/>
                <w14:ligatures w14:val="none"/>
              </w:rPr>
              <w:t xml:space="preserve"> continuing for at least 7 days after identification of last known case</w:t>
            </w:r>
          </w:p>
        </w:tc>
      </w:tr>
      <w:tr w:rsidR="00B96689" w14:paraId="31356C7A" w14:textId="77777777" w:rsidTr="00D95DD3">
        <w:tc>
          <w:tcPr>
            <w:tcW w:w="7470" w:type="dxa"/>
            <w:vMerge/>
            <w:tcBorders>
              <w:left w:val="single" w:sz="4" w:space="0" w:color="9CC2E5" w:themeColor="accent1" w:themeTint="99"/>
              <w:right w:val="dashed" w:sz="4" w:space="0" w:color="D0CECE" w:themeColor="background2" w:themeShade="E6"/>
            </w:tcBorders>
          </w:tcPr>
          <w:p w14:paraId="19C89BF4" w14:textId="77777777" w:rsidR="00B96689" w:rsidRDefault="00B96689"/>
        </w:tc>
        <w:tc>
          <w:tcPr>
            <w:tcW w:w="1620" w:type="dxa"/>
            <w:tcBorders>
              <w:top w:val="single" w:sz="4" w:space="0" w:color="9CC2E5" w:themeColor="accent1" w:themeTint="99"/>
              <w:left w:val="single" w:sz="4" w:space="0" w:color="9CC2E5" w:themeColor="accent1" w:themeTint="99"/>
              <w:bottom w:val="single" w:sz="4" w:space="0" w:color="9CC2E5" w:themeColor="accent1" w:themeTint="99"/>
              <w:right w:val="dashed" w:sz="4" w:space="0" w:color="D0CECE" w:themeColor="background2" w:themeShade="E6"/>
            </w:tcBorders>
          </w:tcPr>
          <w:p w14:paraId="4013AB3E" w14:textId="77777777" w:rsidR="00B96689" w:rsidRPr="00D31107" w:rsidRDefault="00B96689" w:rsidP="00D31107">
            <w:pPr>
              <w:widowControl w:val="0"/>
              <w:spacing w:before="40" w:after="80" w:line="223" w:lineRule="auto"/>
              <w:jc w:val="right"/>
              <w:rPr>
                <w:b/>
                <w:bCs/>
                <w:sz w:val="18"/>
                <w:szCs w:val="18"/>
                <w14:ligatures w14:val="none"/>
              </w:rPr>
            </w:pPr>
            <w:r>
              <w:rPr>
                <w:b/>
                <w:bCs/>
                <w:sz w:val="18"/>
                <w:szCs w:val="18"/>
                <w14:ligatures w14:val="none"/>
              </w:rPr>
              <w:t>Lab testing:</w:t>
            </w:r>
          </w:p>
        </w:tc>
        <w:tc>
          <w:tcPr>
            <w:tcW w:w="2070" w:type="dxa"/>
            <w:tcBorders>
              <w:top w:val="single" w:sz="4" w:space="0" w:color="9CC2E5" w:themeColor="accent1" w:themeTint="99"/>
              <w:left w:val="dashed" w:sz="4" w:space="0" w:color="D0CECE" w:themeColor="background2" w:themeShade="E6"/>
              <w:bottom w:val="single" w:sz="4" w:space="0" w:color="9CC2E5" w:themeColor="accent1" w:themeTint="99"/>
              <w:right w:val="single" w:sz="4" w:space="0" w:color="9CC2E5" w:themeColor="accent1" w:themeTint="99"/>
            </w:tcBorders>
          </w:tcPr>
          <w:p w14:paraId="4D9D4DED" w14:textId="77777777" w:rsidR="00B96689" w:rsidRPr="00E0598C" w:rsidRDefault="00B96689" w:rsidP="00BF3D11">
            <w:pPr>
              <w:widowControl w:val="0"/>
              <w:spacing w:before="40" w:after="80" w:line="223" w:lineRule="auto"/>
              <w:rPr>
                <w:color w:val="FF0000"/>
                <w:sz w:val="18"/>
                <w:szCs w:val="18"/>
                <w14:ligatures w14:val="none"/>
              </w:rPr>
            </w:pPr>
            <w:r>
              <w:rPr>
                <w:sz w:val="18"/>
                <w:szCs w:val="18"/>
                <w14:ligatures w14:val="none"/>
              </w:rPr>
              <w:t>Rapid influenza diagnostic test;*</w:t>
            </w:r>
            <w:r>
              <w:rPr>
                <w:i/>
                <w:iCs/>
                <w:sz w:val="18"/>
                <w:szCs w:val="18"/>
                <w14:ligatures w14:val="none"/>
              </w:rPr>
              <w:t xml:space="preserve"> </w:t>
            </w:r>
            <w:r>
              <w:rPr>
                <w:sz w:val="18"/>
                <w:szCs w:val="18"/>
                <w14:ligatures w14:val="none"/>
              </w:rPr>
              <w:t>Viral cell culture; RT-PCR</w:t>
            </w:r>
            <w:r w:rsidR="00E0598C">
              <w:rPr>
                <w:sz w:val="18"/>
                <w:szCs w:val="18"/>
                <w14:ligatures w14:val="none"/>
              </w:rPr>
              <w:t xml:space="preserve">; </w:t>
            </w:r>
            <w:r w:rsidR="00E0598C" w:rsidRPr="0060569E">
              <w:rPr>
                <w:color w:val="auto"/>
                <w:sz w:val="18"/>
                <w:szCs w:val="18"/>
                <w14:ligatures w14:val="none"/>
              </w:rPr>
              <w:t xml:space="preserve">Multiplex </w:t>
            </w:r>
            <w:r w:rsidR="00D705B9" w:rsidRPr="0060569E">
              <w:rPr>
                <w:color w:val="auto"/>
                <w:sz w:val="18"/>
                <w:szCs w:val="18"/>
                <w14:ligatures w14:val="none"/>
              </w:rPr>
              <w:t>Assay</w:t>
            </w:r>
            <w:r w:rsidR="00E0598C" w:rsidRPr="0060569E">
              <w:rPr>
                <w:color w:val="auto"/>
                <w:sz w:val="18"/>
                <w:szCs w:val="18"/>
                <w14:ligatures w14:val="none"/>
              </w:rPr>
              <w:t xml:space="preserve"> Influenza Sars-CoV-2</w:t>
            </w:r>
          </w:p>
          <w:p w14:paraId="26C36639" w14:textId="77777777" w:rsidR="00B96689" w:rsidRPr="00BF3D11" w:rsidRDefault="00B96689" w:rsidP="00BF3D11">
            <w:pPr>
              <w:widowControl w:val="0"/>
              <w:spacing w:before="40" w:after="80" w:line="223" w:lineRule="auto"/>
              <w:rPr>
                <w:sz w:val="18"/>
                <w:szCs w:val="18"/>
                <w14:ligatures w14:val="none"/>
              </w:rPr>
            </w:pPr>
            <w:r>
              <w:rPr>
                <w:sz w:val="18"/>
                <w:szCs w:val="18"/>
                <w14:ligatures w14:val="none"/>
              </w:rPr>
              <w:t>*negative test does not rule out influenza</w:t>
            </w:r>
          </w:p>
        </w:tc>
      </w:tr>
      <w:tr w:rsidR="00D3302D" w14:paraId="6CA9021B" w14:textId="77777777" w:rsidTr="00D95DD3">
        <w:trPr>
          <w:trHeight w:val="1655"/>
        </w:trPr>
        <w:tc>
          <w:tcPr>
            <w:tcW w:w="7470" w:type="dxa"/>
            <w:vMerge/>
            <w:tcBorders>
              <w:left w:val="single" w:sz="4" w:space="0" w:color="9CC2E5" w:themeColor="accent1" w:themeTint="99"/>
              <w:right w:val="dashed" w:sz="4" w:space="0" w:color="D0CECE" w:themeColor="background2" w:themeShade="E6"/>
            </w:tcBorders>
          </w:tcPr>
          <w:p w14:paraId="698F6101" w14:textId="77777777" w:rsidR="00D3302D" w:rsidRDefault="00D3302D"/>
        </w:tc>
        <w:tc>
          <w:tcPr>
            <w:tcW w:w="1620" w:type="dxa"/>
            <w:vMerge w:val="restart"/>
            <w:tcBorders>
              <w:top w:val="single" w:sz="4" w:space="0" w:color="9CC2E5" w:themeColor="accent1" w:themeTint="99"/>
              <w:left w:val="single" w:sz="4" w:space="0" w:color="9CC2E5" w:themeColor="accent1" w:themeTint="99"/>
              <w:right w:val="dashed" w:sz="4" w:space="0" w:color="D0CECE" w:themeColor="background2" w:themeShade="E6"/>
            </w:tcBorders>
          </w:tcPr>
          <w:p w14:paraId="3C8957A7" w14:textId="77777777" w:rsidR="00D3302D" w:rsidRPr="00D31107" w:rsidRDefault="00D3302D" w:rsidP="00D31107">
            <w:pPr>
              <w:widowControl w:val="0"/>
              <w:jc w:val="right"/>
              <w:rPr>
                <w14:ligatures w14:val="none"/>
              </w:rPr>
            </w:pPr>
            <w:r>
              <w:rPr>
                <w:b/>
                <w:bCs/>
                <w:sz w:val="18"/>
                <w:szCs w:val="18"/>
                <w14:ligatures w14:val="none"/>
              </w:rPr>
              <w:t>Further information including CDC guidelines</w:t>
            </w:r>
          </w:p>
        </w:tc>
        <w:tc>
          <w:tcPr>
            <w:tcW w:w="2070" w:type="dxa"/>
            <w:tcBorders>
              <w:top w:val="single" w:sz="4" w:space="0" w:color="9CC2E5" w:themeColor="accent1" w:themeTint="99"/>
              <w:left w:val="dashed" w:sz="4" w:space="0" w:color="D0CECE" w:themeColor="background2" w:themeShade="E6"/>
              <w:bottom w:val="single" w:sz="4" w:space="0" w:color="9CC2E5" w:themeColor="accent1" w:themeTint="99"/>
              <w:right w:val="single" w:sz="4" w:space="0" w:color="9CC2E5" w:themeColor="accent1" w:themeTint="99"/>
            </w:tcBorders>
          </w:tcPr>
          <w:p w14:paraId="7BF477E8" w14:textId="417E0A7C" w:rsidR="00D3302D" w:rsidRPr="00FF09F1" w:rsidRDefault="00D95DD3" w:rsidP="00BF3D11">
            <w:pPr>
              <w:rPr>
                <w:sz w:val="18"/>
                <w:szCs w:val="18"/>
              </w:rPr>
            </w:pPr>
            <w:hyperlink r:id="rId8" w:history="1">
              <w:r w:rsidR="00D3302D" w:rsidRPr="00BE5960">
                <w:rPr>
                  <w:rStyle w:val="Hyperlink"/>
                  <w:sz w:val="18"/>
                  <w:szCs w:val="18"/>
                </w:rPr>
                <w:t>www.doh.wa.gov/ForPublicHealthandHealthcareProviders/PublicHealthSystemResourcesandServices/Immunization/InfluenzaFluInformation</w:t>
              </w:r>
            </w:hyperlink>
            <w:r w:rsidR="00D3302D">
              <w:rPr>
                <w:sz w:val="18"/>
                <w:szCs w:val="18"/>
              </w:rPr>
              <w:t xml:space="preserve"> </w:t>
            </w:r>
          </w:p>
        </w:tc>
      </w:tr>
      <w:tr w:rsidR="00D3302D" w14:paraId="7F744324" w14:textId="77777777" w:rsidTr="00D95DD3">
        <w:trPr>
          <w:trHeight w:hRule="exact" w:val="504"/>
        </w:trPr>
        <w:tc>
          <w:tcPr>
            <w:tcW w:w="7470" w:type="dxa"/>
            <w:vMerge/>
            <w:tcBorders>
              <w:left w:val="single" w:sz="4" w:space="0" w:color="9CC2E5" w:themeColor="accent1" w:themeTint="99"/>
              <w:right w:val="dashed" w:sz="4" w:space="0" w:color="D0CECE" w:themeColor="background2" w:themeShade="E6"/>
            </w:tcBorders>
          </w:tcPr>
          <w:p w14:paraId="2AC2A558" w14:textId="77777777" w:rsidR="00D3302D" w:rsidRDefault="00D3302D"/>
        </w:tc>
        <w:tc>
          <w:tcPr>
            <w:tcW w:w="1620" w:type="dxa"/>
            <w:vMerge/>
            <w:tcBorders>
              <w:left w:val="single" w:sz="4" w:space="0" w:color="9CC2E5" w:themeColor="accent1" w:themeTint="99"/>
              <w:bottom w:val="single" w:sz="4" w:space="0" w:color="9CC2E5" w:themeColor="accent1" w:themeTint="99"/>
              <w:right w:val="dashed" w:sz="4" w:space="0" w:color="D0CECE" w:themeColor="background2" w:themeShade="E6"/>
            </w:tcBorders>
          </w:tcPr>
          <w:p w14:paraId="084DEB3A" w14:textId="77777777" w:rsidR="00D3302D" w:rsidRDefault="00D3302D"/>
        </w:tc>
        <w:tc>
          <w:tcPr>
            <w:tcW w:w="2070" w:type="dxa"/>
            <w:tcBorders>
              <w:top w:val="single" w:sz="4" w:space="0" w:color="9CC2E5" w:themeColor="accent1" w:themeTint="99"/>
              <w:left w:val="dashed" w:sz="4" w:space="0" w:color="D0CECE" w:themeColor="background2" w:themeShade="E6"/>
              <w:bottom w:val="single" w:sz="4" w:space="0" w:color="9CC2E5" w:themeColor="accent1" w:themeTint="99"/>
              <w:right w:val="single" w:sz="4" w:space="0" w:color="9CC2E5" w:themeColor="accent1" w:themeTint="99"/>
            </w:tcBorders>
          </w:tcPr>
          <w:p w14:paraId="3045C3C6" w14:textId="1B650054" w:rsidR="00D3302D" w:rsidRPr="00D31107" w:rsidRDefault="00D95DD3">
            <w:pPr>
              <w:rPr>
                <w:sz w:val="18"/>
                <w:szCs w:val="18"/>
              </w:rPr>
            </w:pPr>
            <w:hyperlink r:id="rId9" w:history="1">
              <w:r w:rsidR="00D3302D" w:rsidRPr="00BE5960">
                <w:rPr>
                  <w:rStyle w:val="Hyperlink"/>
                  <w:sz w:val="18"/>
                  <w:szCs w:val="18"/>
                </w:rPr>
                <w:t>www.cdc.gov/flu/professionals/</w:t>
              </w:r>
            </w:hyperlink>
            <w:r w:rsidR="00D3302D">
              <w:rPr>
                <w:sz w:val="18"/>
                <w:szCs w:val="18"/>
              </w:rPr>
              <w:t xml:space="preserve"> </w:t>
            </w:r>
          </w:p>
        </w:tc>
      </w:tr>
      <w:tr w:rsidR="00B96689" w14:paraId="0658CE1B" w14:textId="77777777" w:rsidTr="00D95DD3">
        <w:trPr>
          <w:trHeight w:hRule="exact" w:val="829"/>
        </w:trPr>
        <w:tc>
          <w:tcPr>
            <w:tcW w:w="7470" w:type="dxa"/>
            <w:vMerge/>
            <w:tcBorders>
              <w:left w:val="single" w:sz="4" w:space="0" w:color="9CC2E5" w:themeColor="accent1" w:themeTint="99"/>
              <w:bottom w:val="dashed" w:sz="4" w:space="0" w:color="D0CECE" w:themeColor="background2" w:themeShade="E6"/>
              <w:right w:val="dashed" w:sz="4" w:space="0" w:color="D0CECE" w:themeColor="background2" w:themeShade="E6"/>
            </w:tcBorders>
          </w:tcPr>
          <w:p w14:paraId="2A40AF78" w14:textId="77777777" w:rsidR="00B96689" w:rsidRDefault="00B96689"/>
        </w:tc>
        <w:tc>
          <w:tcPr>
            <w:tcW w:w="3690"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themeFill="accent1" w:themeFillTint="33"/>
          </w:tcPr>
          <w:p w14:paraId="0E985DF2" w14:textId="77777777" w:rsidR="00B96689" w:rsidRPr="00D7180C" w:rsidRDefault="00B96689" w:rsidP="00D7180C">
            <w:pPr>
              <w:widowControl w:val="0"/>
              <w:spacing w:before="40" w:after="40" w:line="223" w:lineRule="auto"/>
              <w:rPr>
                <w:b/>
                <w:bCs/>
                <w:color w:val="FF0000"/>
                <w:sz w:val="22"/>
                <w:szCs w:val="22"/>
                <w14:ligatures w14:val="none"/>
              </w:rPr>
            </w:pPr>
            <w:r>
              <w:rPr>
                <w:b/>
                <w:bCs/>
                <w:color w:val="FF0000"/>
                <w:sz w:val="22"/>
                <w:szCs w:val="22"/>
                <w14:ligatures w14:val="none"/>
              </w:rPr>
              <w:t>Insert LHJ contact information for reporting of outbreaks</w:t>
            </w:r>
          </w:p>
        </w:tc>
        <w:bookmarkStart w:id="0" w:name="_GoBack"/>
        <w:bookmarkEnd w:id="0"/>
      </w:tr>
      <w:tr w:rsidR="0085387C" w14:paraId="2A7F2162" w14:textId="77777777" w:rsidTr="00D95DD3">
        <w:tblPrEx>
          <w:tblBorders>
            <w:top w:val="dashed" w:sz="4" w:space="0" w:color="D0CECE" w:themeColor="background2" w:themeShade="E6"/>
            <w:left w:val="none" w:sz="0" w:space="0" w:color="auto"/>
            <w:bottom w:val="dashed" w:sz="4" w:space="0" w:color="D0CECE" w:themeColor="background2" w:themeShade="E6"/>
            <w:right w:val="dashed" w:sz="4" w:space="0" w:color="D0CECE" w:themeColor="background2" w:themeShade="E6"/>
            <w:insideH w:val="dashed" w:sz="4" w:space="0" w:color="D0CECE" w:themeColor="background2" w:themeShade="E6"/>
            <w:insideV w:val="dashed" w:sz="4" w:space="0" w:color="D0CECE" w:themeColor="background2" w:themeShade="E6"/>
          </w:tblBorders>
        </w:tblPrEx>
        <w:trPr>
          <w:trHeight w:val="288"/>
        </w:trPr>
        <w:tc>
          <w:tcPr>
            <w:tcW w:w="11160" w:type="dxa"/>
            <w:gridSpan w:val="3"/>
            <w:shd w:val="clear" w:color="auto" w:fill="BDD6EE" w:themeFill="accent1" w:themeFillTint="66"/>
            <w:vAlign w:val="center"/>
          </w:tcPr>
          <w:p w14:paraId="17E79656" w14:textId="77777777" w:rsidR="0085387C" w:rsidRPr="00B96689" w:rsidRDefault="0085387C" w:rsidP="00F67DD6">
            <w:pPr>
              <w:widowControl w:val="0"/>
              <w:rPr>
                <w:b/>
                <w:bCs/>
                <w:sz w:val="22"/>
                <w:szCs w:val="22"/>
                <w14:ligatures w14:val="none"/>
              </w:rPr>
            </w:pPr>
            <w:r>
              <w:rPr>
                <w:b/>
                <w:bCs/>
                <w:sz w:val="22"/>
                <w:szCs w:val="22"/>
                <w14:ligatures w14:val="none"/>
              </w:rPr>
              <w:t>KEY POINTS FOR PREVENTION OF ADDITIONAL CASES DURING AN INFLUENZA OUTBREAK</w:t>
            </w:r>
          </w:p>
        </w:tc>
      </w:tr>
      <w:tr w:rsidR="001D7D89" w14:paraId="451ED205" w14:textId="77777777" w:rsidTr="00D95DD3">
        <w:tc>
          <w:tcPr>
            <w:tcW w:w="11160" w:type="dxa"/>
            <w:gridSpan w:val="3"/>
            <w:tcBorders>
              <w:top w:val="dashed" w:sz="4" w:space="0" w:color="D0CECE" w:themeColor="background2" w:themeShade="E6"/>
              <w:left w:val="single" w:sz="4" w:space="0" w:color="9CC2E5" w:themeColor="accent1" w:themeTint="99"/>
              <w:bottom w:val="single" w:sz="4" w:space="0" w:color="9CC2E5" w:themeColor="accent1" w:themeTint="99"/>
              <w:right w:val="single" w:sz="4" w:space="0" w:color="9CC2E5" w:themeColor="accent1" w:themeTint="99"/>
            </w:tcBorders>
          </w:tcPr>
          <w:p w14:paraId="53E15576" w14:textId="77777777" w:rsidR="001D7D89" w:rsidRDefault="001D7D89" w:rsidP="0060569E">
            <w:pPr>
              <w:widowControl w:val="0"/>
              <w:spacing w:after="0" w:line="240" w:lineRule="auto"/>
              <w:rPr>
                <w:sz w:val="19"/>
                <w:szCs w:val="19"/>
                <w14:ligatures w14:val="none"/>
              </w:rPr>
            </w:pPr>
            <w:r>
              <w:rPr>
                <w:b/>
                <w:bCs/>
                <w:sz w:val="19"/>
                <w:szCs w:val="19"/>
                <w14:ligatures w14:val="none"/>
              </w:rPr>
              <w:t>Encourage residents and staff to minimize risk of infecting others.</w:t>
            </w:r>
          </w:p>
          <w:p w14:paraId="06986E48" w14:textId="77777777" w:rsidR="001D7D89" w:rsidRDefault="001D7D89" w:rsidP="0060569E">
            <w:pPr>
              <w:widowControl w:val="0"/>
              <w:spacing w:after="0" w:line="240" w:lineRule="auto"/>
              <w:ind w:left="720" w:hanging="360"/>
              <w:rPr>
                <w:sz w:val="19"/>
                <w:szCs w:val="19"/>
                <w14:ligatures w14:val="none"/>
              </w:rPr>
            </w:pPr>
            <w:r>
              <w:rPr>
                <w:rFonts w:ascii="Symbol" w:hAnsi="Symbol"/>
                <w:lang w:val="x-none"/>
              </w:rPr>
              <w:t></w:t>
            </w:r>
            <w:r>
              <w:t xml:space="preserve"> </w:t>
            </w:r>
            <w:r>
              <w:rPr>
                <w:sz w:val="19"/>
                <w:szCs w:val="19"/>
                <w14:ligatures w14:val="none"/>
              </w:rPr>
              <w:t>Follow all recommendations of your LHJ.</w:t>
            </w:r>
          </w:p>
          <w:p w14:paraId="20CB6E8A" w14:textId="77777777" w:rsidR="001D7D89" w:rsidRDefault="001D7D89" w:rsidP="0060569E">
            <w:pPr>
              <w:widowControl w:val="0"/>
              <w:spacing w:after="0" w:line="240" w:lineRule="auto"/>
              <w:ind w:left="720" w:hanging="360"/>
              <w:rPr>
                <w:sz w:val="19"/>
                <w:szCs w:val="19"/>
                <w14:ligatures w14:val="none"/>
              </w:rPr>
            </w:pPr>
            <w:r>
              <w:rPr>
                <w:rFonts w:ascii="Symbol" w:hAnsi="Symbol"/>
                <w:lang w:val="x-none"/>
              </w:rPr>
              <w:t></w:t>
            </w:r>
            <w:r>
              <w:t xml:space="preserve"> </w:t>
            </w:r>
            <w:r>
              <w:rPr>
                <w:sz w:val="19"/>
                <w:szCs w:val="19"/>
                <w14:ligatures w14:val="none"/>
              </w:rPr>
              <w:t>Limit large group activities and consider serving all meals to residents in their rooms if the outbreak is widespread.</w:t>
            </w:r>
          </w:p>
          <w:p w14:paraId="375C6852" w14:textId="77777777" w:rsidR="001D7D89" w:rsidRDefault="001D7D89" w:rsidP="0060569E">
            <w:pPr>
              <w:widowControl w:val="0"/>
              <w:spacing w:after="0" w:line="240" w:lineRule="auto"/>
              <w:ind w:left="720" w:hanging="360"/>
              <w:rPr>
                <w:sz w:val="19"/>
                <w:szCs w:val="19"/>
                <w14:ligatures w14:val="none"/>
              </w:rPr>
            </w:pPr>
            <w:r>
              <w:rPr>
                <w:rFonts w:ascii="Symbol" w:hAnsi="Symbol"/>
                <w:lang w:val="x-none"/>
              </w:rPr>
              <w:t></w:t>
            </w:r>
            <w:r>
              <w:t xml:space="preserve"> </w:t>
            </w:r>
            <w:r>
              <w:rPr>
                <w:sz w:val="19"/>
                <w:szCs w:val="19"/>
                <w14:ligatures w14:val="none"/>
              </w:rPr>
              <w:t>Ill residents should stay in their rooms and limit time spent in common areas; all meals should be served in their rooms if possible.</w:t>
            </w:r>
          </w:p>
          <w:p w14:paraId="6F1AD080" w14:textId="77777777" w:rsidR="001D7D89" w:rsidRDefault="001D7D89" w:rsidP="0060569E">
            <w:pPr>
              <w:widowControl w:val="0"/>
              <w:spacing w:after="0" w:line="240" w:lineRule="auto"/>
              <w:ind w:left="720" w:hanging="360"/>
              <w:rPr>
                <w:sz w:val="19"/>
                <w:szCs w:val="19"/>
                <w14:ligatures w14:val="none"/>
              </w:rPr>
            </w:pPr>
            <w:r>
              <w:rPr>
                <w:rFonts w:ascii="Symbol" w:hAnsi="Symbol"/>
                <w:lang w:val="x-none"/>
              </w:rPr>
              <w:t></w:t>
            </w:r>
            <w:r>
              <w:t xml:space="preserve"> </w:t>
            </w:r>
            <w:r>
              <w:rPr>
                <w:sz w:val="19"/>
                <w:szCs w:val="19"/>
                <w14:ligatures w14:val="none"/>
              </w:rPr>
              <w:t xml:space="preserve">As long as appropriate infection control measures are maintained, facilities can admit new residents. It is important to inform potential new residents of the outbreak so they may choose whether to postpone their admission. </w:t>
            </w:r>
          </w:p>
          <w:p w14:paraId="72BDBFF9" w14:textId="77777777" w:rsidR="001D7D89" w:rsidRDefault="001D7D89" w:rsidP="0060569E">
            <w:pPr>
              <w:widowControl w:val="0"/>
              <w:spacing w:after="0" w:line="240" w:lineRule="auto"/>
              <w:ind w:left="720" w:hanging="360"/>
              <w:rPr>
                <w:sz w:val="19"/>
                <w:szCs w:val="19"/>
                <w14:ligatures w14:val="none"/>
              </w:rPr>
            </w:pPr>
            <w:r>
              <w:rPr>
                <w:rFonts w:ascii="Symbol" w:hAnsi="Symbol"/>
                <w:lang w:val="x-none"/>
              </w:rPr>
              <w:t></w:t>
            </w:r>
            <w:r>
              <w:t xml:space="preserve"> </w:t>
            </w:r>
            <w:r>
              <w:rPr>
                <w:sz w:val="19"/>
                <w:szCs w:val="19"/>
                <w14:ligatures w14:val="none"/>
              </w:rPr>
              <w:t xml:space="preserve">Designate staff to care for ill residents and minimize staff movement between areas in the facility with illness and areas not affected by the outbreak. Consider setting up a separate break room for staff caring for ill residents, and disinfect surfaces used by all staff (such as time clocks) or set up an interim system to avoid contamination of shared surfaces. </w:t>
            </w:r>
          </w:p>
          <w:p w14:paraId="747AAEDC" w14:textId="77777777" w:rsidR="001D7D89" w:rsidRDefault="001D7D89" w:rsidP="0060569E">
            <w:pPr>
              <w:widowControl w:val="0"/>
              <w:spacing w:after="0" w:line="240" w:lineRule="auto"/>
              <w:ind w:left="720" w:hanging="360"/>
              <w:rPr>
                <w:sz w:val="19"/>
                <w:szCs w:val="19"/>
                <w14:ligatures w14:val="none"/>
              </w:rPr>
            </w:pPr>
            <w:r>
              <w:rPr>
                <w:rFonts w:ascii="Symbol" w:hAnsi="Symbol"/>
                <w:lang w:val="x-none"/>
              </w:rPr>
              <w:t></w:t>
            </w:r>
            <w:r>
              <w:t xml:space="preserve"> </w:t>
            </w:r>
            <w:r>
              <w:rPr>
                <w:sz w:val="19"/>
                <w:szCs w:val="19"/>
                <w14:ligatures w14:val="none"/>
              </w:rPr>
              <w:t>Limit visitation and exclude anyone with influenza-like illness from visiting the facility.</w:t>
            </w:r>
          </w:p>
          <w:p w14:paraId="2193346C" w14:textId="77777777" w:rsidR="001D7D89" w:rsidRDefault="001D7D89" w:rsidP="0060569E">
            <w:pPr>
              <w:widowControl w:val="0"/>
              <w:spacing w:after="0" w:line="240" w:lineRule="auto"/>
              <w:ind w:left="720" w:hanging="360"/>
              <w:rPr>
                <w:sz w:val="19"/>
                <w:szCs w:val="19"/>
                <w14:ligatures w14:val="none"/>
              </w:rPr>
            </w:pPr>
            <w:r>
              <w:rPr>
                <w:rFonts w:ascii="Symbol" w:hAnsi="Symbol"/>
                <w:lang w:val="x-none"/>
              </w:rPr>
              <w:t></w:t>
            </w:r>
            <w:r>
              <w:t xml:space="preserve"> </w:t>
            </w:r>
            <w:r>
              <w:rPr>
                <w:sz w:val="19"/>
                <w:szCs w:val="19"/>
                <w14:ligatures w14:val="none"/>
              </w:rPr>
              <w:t>Monitor staff absenteeism for respiratory illness and exclude ill staff for at least 24 hours after fever is gone without use of fever-reducing medications.</w:t>
            </w:r>
          </w:p>
          <w:p w14:paraId="274EC883" w14:textId="77777777" w:rsidR="001D7D89" w:rsidRDefault="001D7D89" w:rsidP="0060569E">
            <w:pPr>
              <w:widowControl w:val="0"/>
              <w:spacing w:after="0" w:line="240" w:lineRule="auto"/>
              <w:ind w:left="720" w:hanging="360"/>
              <w:rPr>
                <w:sz w:val="19"/>
                <w:szCs w:val="19"/>
                <w14:ligatures w14:val="none"/>
              </w:rPr>
            </w:pPr>
            <w:r>
              <w:rPr>
                <w:rFonts w:ascii="Symbol" w:hAnsi="Symbol"/>
                <w:lang w:val="x-none"/>
              </w:rPr>
              <w:t></w:t>
            </w:r>
            <w:r w:rsidR="00067A7C">
              <w:t xml:space="preserve"> </w:t>
            </w:r>
            <w:r>
              <w:rPr>
                <w:sz w:val="19"/>
                <w:szCs w:val="19"/>
                <w14:ligatures w14:val="none"/>
              </w:rPr>
              <w:t>Place signs around facility indicating that an outbreak is occurring.</w:t>
            </w:r>
          </w:p>
          <w:p w14:paraId="146F02B0" w14:textId="77777777" w:rsidR="001D7D89" w:rsidRDefault="001D7D89" w:rsidP="0060569E">
            <w:pPr>
              <w:widowControl w:val="0"/>
              <w:spacing w:after="0" w:line="240" w:lineRule="auto"/>
              <w:ind w:left="720" w:hanging="360"/>
              <w:rPr>
                <w:b/>
                <w:bCs/>
                <w:sz w:val="19"/>
                <w:szCs w:val="19"/>
                <w14:ligatures w14:val="none"/>
              </w:rPr>
            </w:pPr>
            <w:r>
              <w:rPr>
                <w:rFonts w:ascii="Symbol" w:hAnsi="Symbol"/>
                <w:lang w:val="x-none"/>
              </w:rPr>
              <w:t></w:t>
            </w:r>
            <w:r w:rsidR="00067A7C">
              <w:t xml:space="preserve"> </w:t>
            </w:r>
            <w:r>
              <w:rPr>
                <w:sz w:val="19"/>
                <w:szCs w:val="19"/>
                <w14:ligatures w14:val="none"/>
              </w:rPr>
              <w:t>Regularly monitor the health of staff and residents and report updates to your LHJ</w:t>
            </w:r>
            <w:r>
              <w:rPr>
                <w:b/>
                <w:bCs/>
                <w:sz w:val="19"/>
                <w:szCs w:val="19"/>
                <w14:ligatures w14:val="none"/>
              </w:rPr>
              <w:t>.</w:t>
            </w:r>
          </w:p>
          <w:p w14:paraId="01C6DD27" w14:textId="77777777" w:rsidR="009A125A" w:rsidRPr="009A125A" w:rsidRDefault="001D7D89" w:rsidP="009A125A">
            <w:pPr>
              <w:widowControl w:val="0"/>
              <w:spacing w:after="80" w:line="223" w:lineRule="auto"/>
              <w:ind w:left="360"/>
              <w:rPr>
                <w:sz w:val="19"/>
                <w:szCs w:val="19"/>
                <w14:ligatures w14:val="none"/>
              </w:rPr>
            </w:pPr>
            <w:r>
              <w:rPr>
                <w:sz w:val="19"/>
                <w:szCs w:val="19"/>
                <w14:ligatures w14:val="none"/>
              </w:rPr>
              <w:t>Note: An influenza outbreak can generally be considered over 7 days from the last onset (the clock sta</w:t>
            </w:r>
            <w:r w:rsidR="00067A7C">
              <w:rPr>
                <w:sz w:val="19"/>
                <w:szCs w:val="19"/>
                <w14:ligatures w14:val="none"/>
              </w:rPr>
              <w:t>rts again with each new onset).</w:t>
            </w:r>
          </w:p>
        </w:tc>
      </w:tr>
    </w:tbl>
    <w:p w14:paraId="4A6BF424" w14:textId="77777777" w:rsidR="008150B9" w:rsidRPr="00D95DD3" w:rsidRDefault="008150B9" w:rsidP="00D95DD3">
      <w:pPr>
        <w:spacing w:after="0" w:line="286" w:lineRule="auto"/>
        <w:rPr>
          <w:sz w:val="12"/>
          <w:szCs w:val="12"/>
        </w:rPr>
      </w:pPr>
    </w:p>
    <w:sectPr w:rsidR="008150B9" w:rsidRPr="00D95DD3" w:rsidSect="00D95DD3">
      <w:footerReference w:type="default" r:id="rId10"/>
      <w:pgSz w:w="12240" w:h="15840" w:code="1"/>
      <w:pgMar w:top="288" w:right="475" w:bottom="288" w:left="475"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81B85" w14:textId="77777777" w:rsidR="00C04F4E" w:rsidRDefault="00C04F4E" w:rsidP="00C04F4E">
      <w:pPr>
        <w:spacing w:after="0" w:line="240" w:lineRule="auto"/>
      </w:pPr>
      <w:r>
        <w:separator/>
      </w:r>
    </w:p>
  </w:endnote>
  <w:endnote w:type="continuationSeparator" w:id="0">
    <w:p w14:paraId="6F507AA6" w14:textId="77777777" w:rsidR="00C04F4E" w:rsidRDefault="00C04F4E" w:rsidP="00C04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FA5A9" w14:textId="77777777" w:rsidR="00C04F4E" w:rsidRDefault="00C04F4E">
    <w:pPr>
      <w:pStyle w:val="Footer"/>
    </w:pPr>
    <w:r>
      <w:rPr>
        <w14:ligatures w14:val="none"/>
      </w:rPr>
      <w:t xml:space="preserve">Adapted from Public Health Seattle and King County influenza materials </w:t>
    </w:r>
    <w:r>
      <w:rPr>
        <w:rFonts w:ascii="Arial" w:hAnsi="Arial" w:cs="Arial"/>
        <w:sz w:val="14"/>
        <w:szCs w:val="14"/>
        <w14:ligatures w14:val="none"/>
      </w:rPr>
      <w:t xml:space="preserve">                                                                                                      DOH 420-200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A4700" w14:textId="77777777" w:rsidR="00C04F4E" w:rsidRDefault="00C04F4E" w:rsidP="00C04F4E">
      <w:pPr>
        <w:spacing w:after="0" w:line="240" w:lineRule="auto"/>
      </w:pPr>
      <w:r>
        <w:separator/>
      </w:r>
    </w:p>
  </w:footnote>
  <w:footnote w:type="continuationSeparator" w:id="0">
    <w:p w14:paraId="4DDB66C6" w14:textId="77777777" w:rsidR="00C04F4E" w:rsidRDefault="00C04F4E" w:rsidP="00C04F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E95"/>
    <w:rsid w:val="000132CF"/>
    <w:rsid w:val="00067A7C"/>
    <w:rsid w:val="00081F69"/>
    <w:rsid w:val="000A06B8"/>
    <w:rsid w:val="00132DFF"/>
    <w:rsid w:val="001D7D89"/>
    <w:rsid w:val="00256E3A"/>
    <w:rsid w:val="00383AEA"/>
    <w:rsid w:val="00395E84"/>
    <w:rsid w:val="004C7A20"/>
    <w:rsid w:val="00502049"/>
    <w:rsid w:val="00504F46"/>
    <w:rsid w:val="0050765C"/>
    <w:rsid w:val="005E32C1"/>
    <w:rsid w:val="006014BB"/>
    <w:rsid w:val="0060569E"/>
    <w:rsid w:val="007C2579"/>
    <w:rsid w:val="008150B9"/>
    <w:rsid w:val="0083190F"/>
    <w:rsid w:val="0085387C"/>
    <w:rsid w:val="00866AB2"/>
    <w:rsid w:val="009A125A"/>
    <w:rsid w:val="00A551B2"/>
    <w:rsid w:val="00B21AE2"/>
    <w:rsid w:val="00B96689"/>
    <w:rsid w:val="00BF3D11"/>
    <w:rsid w:val="00C04F4E"/>
    <w:rsid w:val="00D139AC"/>
    <w:rsid w:val="00D31107"/>
    <w:rsid w:val="00D31841"/>
    <w:rsid w:val="00D3302D"/>
    <w:rsid w:val="00D338F2"/>
    <w:rsid w:val="00D52114"/>
    <w:rsid w:val="00D70382"/>
    <w:rsid w:val="00D705B9"/>
    <w:rsid w:val="00D7180C"/>
    <w:rsid w:val="00D95DD3"/>
    <w:rsid w:val="00DB5FAF"/>
    <w:rsid w:val="00DC3808"/>
    <w:rsid w:val="00E0598C"/>
    <w:rsid w:val="00E30393"/>
    <w:rsid w:val="00E45E95"/>
    <w:rsid w:val="00F84E2B"/>
    <w:rsid w:val="00FF0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E3906A"/>
  <w15:chartTrackingRefBased/>
  <w15:docId w15:val="{4CA219AB-34B6-4407-8C40-424EACEE7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E95"/>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5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3D11"/>
    <w:rPr>
      <w:color w:val="0563C1" w:themeColor="hyperlink"/>
      <w:u w:val="single"/>
    </w:rPr>
  </w:style>
  <w:style w:type="character" w:styleId="FollowedHyperlink">
    <w:name w:val="FollowedHyperlink"/>
    <w:basedOn w:val="DefaultParagraphFont"/>
    <w:uiPriority w:val="99"/>
    <w:semiHidden/>
    <w:unhideWhenUsed/>
    <w:rsid w:val="00132DFF"/>
    <w:rPr>
      <w:color w:val="954F72" w:themeColor="followedHyperlink"/>
      <w:u w:val="single"/>
    </w:rPr>
  </w:style>
  <w:style w:type="paragraph" w:styleId="Header">
    <w:name w:val="header"/>
    <w:basedOn w:val="Normal"/>
    <w:link w:val="HeaderChar"/>
    <w:uiPriority w:val="99"/>
    <w:unhideWhenUsed/>
    <w:rsid w:val="00C04F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F4E"/>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C04F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F4E"/>
    <w:rPr>
      <w:rFonts w:ascii="Calibri" w:eastAsia="Times New Roman" w:hAnsi="Calibri" w:cs="Times New Roman"/>
      <w:color w:val="000000"/>
      <w:kern w:val="28"/>
      <w:sz w:val="20"/>
      <w:szCs w:val="20"/>
      <w14:ligatures w14:val="standard"/>
      <w14:cntxtAlts/>
    </w:rPr>
  </w:style>
  <w:style w:type="character" w:styleId="CommentReference">
    <w:name w:val="annotation reference"/>
    <w:basedOn w:val="DefaultParagraphFont"/>
    <w:uiPriority w:val="99"/>
    <w:semiHidden/>
    <w:unhideWhenUsed/>
    <w:rsid w:val="0085387C"/>
    <w:rPr>
      <w:sz w:val="16"/>
      <w:szCs w:val="16"/>
    </w:rPr>
  </w:style>
  <w:style w:type="paragraph" w:styleId="CommentText">
    <w:name w:val="annotation text"/>
    <w:basedOn w:val="Normal"/>
    <w:link w:val="CommentTextChar"/>
    <w:uiPriority w:val="99"/>
    <w:semiHidden/>
    <w:unhideWhenUsed/>
    <w:rsid w:val="0085387C"/>
    <w:pPr>
      <w:spacing w:line="240" w:lineRule="auto"/>
    </w:pPr>
  </w:style>
  <w:style w:type="character" w:customStyle="1" w:styleId="CommentTextChar">
    <w:name w:val="Comment Text Char"/>
    <w:basedOn w:val="DefaultParagraphFont"/>
    <w:link w:val="CommentText"/>
    <w:uiPriority w:val="99"/>
    <w:semiHidden/>
    <w:rsid w:val="0085387C"/>
    <w:rPr>
      <w:rFonts w:ascii="Calibri" w:eastAsia="Times New Roman" w:hAnsi="Calibri" w:cs="Times New Roman"/>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85387C"/>
    <w:rPr>
      <w:b/>
      <w:bCs/>
    </w:rPr>
  </w:style>
  <w:style w:type="character" w:customStyle="1" w:styleId="CommentSubjectChar">
    <w:name w:val="Comment Subject Char"/>
    <w:basedOn w:val="CommentTextChar"/>
    <w:link w:val="CommentSubject"/>
    <w:uiPriority w:val="99"/>
    <w:semiHidden/>
    <w:rsid w:val="0085387C"/>
    <w:rPr>
      <w:rFonts w:ascii="Calibri" w:eastAsia="Times New Roman" w:hAnsi="Calibri" w:cs="Times New Roman"/>
      <w:b/>
      <w:bCs/>
      <w:color w:val="000000"/>
      <w:kern w:val="28"/>
      <w:sz w:val="20"/>
      <w:szCs w:val="20"/>
      <w14:ligatures w14:val="standard"/>
      <w14:cntxtAlts/>
    </w:rPr>
  </w:style>
  <w:style w:type="paragraph" w:styleId="BalloonText">
    <w:name w:val="Balloon Text"/>
    <w:basedOn w:val="Normal"/>
    <w:link w:val="BalloonTextChar"/>
    <w:uiPriority w:val="99"/>
    <w:semiHidden/>
    <w:unhideWhenUsed/>
    <w:rsid w:val="008538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87C"/>
    <w:rPr>
      <w:rFonts w:ascii="Segoe UI" w:eastAsia="Times New Roman" w:hAnsi="Segoe UI" w:cs="Segoe UI"/>
      <w:color w:val="000000"/>
      <w:kern w:val="28"/>
      <w:sz w:val="18"/>
      <w:szCs w:val="18"/>
      <w14:ligatures w14:val="standard"/>
      <w14:cntxtAlts/>
    </w:rPr>
  </w:style>
  <w:style w:type="character" w:styleId="UnresolvedMention">
    <w:name w:val="Unresolved Mention"/>
    <w:basedOn w:val="DefaultParagraphFont"/>
    <w:uiPriority w:val="99"/>
    <w:semiHidden/>
    <w:unhideWhenUsed/>
    <w:rsid w:val="00D31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35763">
      <w:bodyDiv w:val="1"/>
      <w:marLeft w:val="0"/>
      <w:marRight w:val="0"/>
      <w:marTop w:val="0"/>
      <w:marBottom w:val="0"/>
      <w:divBdr>
        <w:top w:val="none" w:sz="0" w:space="0" w:color="auto"/>
        <w:left w:val="none" w:sz="0" w:space="0" w:color="auto"/>
        <w:bottom w:val="none" w:sz="0" w:space="0" w:color="auto"/>
        <w:right w:val="none" w:sz="0" w:space="0" w:color="auto"/>
      </w:divBdr>
    </w:div>
    <w:div w:id="360278239">
      <w:bodyDiv w:val="1"/>
      <w:marLeft w:val="0"/>
      <w:marRight w:val="0"/>
      <w:marTop w:val="0"/>
      <w:marBottom w:val="0"/>
      <w:divBdr>
        <w:top w:val="none" w:sz="0" w:space="0" w:color="auto"/>
        <w:left w:val="none" w:sz="0" w:space="0" w:color="auto"/>
        <w:bottom w:val="none" w:sz="0" w:space="0" w:color="auto"/>
        <w:right w:val="none" w:sz="0" w:space="0" w:color="auto"/>
      </w:divBdr>
    </w:div>
    <w:div w:id="374277765">
      <w:bodyDiv w:val="1"/>
      <w:marLeft w:val="0"/>
      <w:marRight w:val="0"/>
      <w:marTop w:val="0"/>
      <w:marBottom w:val="0"/>
      <w:divBdr>
        <w:top w:val="none" w:sz="0" w:space="0" w:color="auto"/>
        <w:left w:val="none" w:sz="0" w:space="0" w:color="auto"/>
        <w:bottom w:val="none" w:sz="0" w:space="0" w:color="auto"/>
        <w:right w:val="none" w:sz="0" w:space="0" w:color="auto"/>
      </w:divBdr>
    </w:div>
    <w:div w:id="430707392">
      <w:bodyDiv w:val="1"/>
      <w:marLeft w:val="0"/>
      <w:marRight w:val="0"/>
      <w:marTop w:val="0"/>
      <w:marBottom w:val="0"/>
      <w:divBdr>
        <w:top w:val="none" w:sz="0" w:space="0" w:color="auto"/>
        <w:left w:val="none" w:sz="0" w:space="0" w:color="auto"/>
        <w:bottom w:val="none" w:sz="0" w:space="0" w:color="auto"/>
        <w:right w:val="none" w:sz="0" w:space="0" w:color="auto"/>
      </w:divBdr>
    </w:div>
    <w:div w:id="509485411">
      <w:bodyDiv w:val="1"/>
      <w:marLeft w:val="0"/>
      <w:marRight w:val="0"/>
      <w:marTop w:val="0"/>
      <w:marBottom w:val="0"/>
      <w:divBdr>
        <w:top w:val="none" w:sz="0" w:space="0" w:color="auto"/>
        <w:left w:val="none" w:sz="0" w:space="0" w:color="auto"/>
        <w:bottom w:val="none" w:sz="0" w:space="0" w:color="auto"/>
        <w:right w:val="none" w:sz="0" w:space="0" w:color="auto"/>
      </w:divBdr>
    </w:div>
    <w:div w:id="601186768">
      <w:bodyDiv w:val="1"/>
      <w:marLeft w:val="0"/>
      <w:marRight w:val="0"/>
      <w:marTop w:val="0"/>
      <w:marBottom w:val="0"/>
      <w:divBdr>
        <w:top w:val="none" w:sz="0" w:space="0" w:color="auto"/>
        <w:left w:val="none" w:sz="0" w:space="0" w:color="auto"/>
        <w:bottom w:val="none" w:sz="0" w:space="0" w:color="auto"/>
        <w:right w:val="none" w:sz="0" w:space="0" w:color="auto"/>
      </w:divBdr>
    </w:div>
    <w:div w:id="628122766">
      <w:bodyDiv w:val="1"/>
      <w:marLeft w:val="0"/>
      <w:marRight w:val="0"/>
      <w:marTop w:val="0"/>
      <w:marBottom w:val="0"/>
      <w:divBdr>
        <w:top w:val="none" w:sz="0" w:space="0" w:color="auto"/>
        <w:left w:val="none" w:sz="0" w:space="0" w:color="auto"/>
        <w:bottom w:val="none" w:sz="0" w:space="0" w:color="auto"/>
        <w:right w:val="none" w:sz="0" w:space="0" w:color="auto"/>
      </w:divBdr>
    </w:div>
    <w:div w:id="695666083">
      <w:bodyDiv w:val="1"/>
      <w:marLeft w:val="0"/>
      <w:marRight w:val="0"/>
      <w:marTop w:val="0"/>
      <w:marBottom w:val="0"/>
      <w:divBdr>
        <w:top w:val="none" w:sz="0" w:space="0" w:color="auto"/>
        <w:left w:val="none" w:sz="0" w:space="0" w:color="auto"/>
        <w:bottom w:val="none" w:sz="0" w:space="0" w:color="auto"/>
        <w:right w:val="none" w:sz="0" w:space="0" w:color="auto"/>
      </w:divBdr>
    </w:div>
    <w:div w:id="825705542">
      <w:bodyDiv w:val="1"/>
      <w:marLeft w:val="0"/>
      <w:marRight w:val="0"/>
      <w:marTop w:val="0"/>
      <w:marBottom w:val="0"/>
      <w:divBdr>
        <w:top w:val="none" w:sz="0" w:space="0" w:color="auto"/>
        <w:left w:val="none" w:sz="0" w:space="0" w:color="auto"/>
        <w:bottom w:val="none" w:sz="0" w:space="0" w:color="auto"/>
        <w:right w:val="none" w:sz="0" w:space="0" w:color="auto"/>
      </w:divBdr>
    </w:div>
    <w:div w:id="861282219">
      <w:bodyDiv w:val="1"/>
      <w:marLeft w:val="0"/>
      <w:marRight w:val="0"/>
      <w:marTop w:val="0"/>
      <w:marBottom w:val="0"/>
      <w:divBdr>
        <w:top w:val="none" w:sz="0" w:space="0" w:color="auto"/>
        <w:left w:val="none" w:sz="0" w:space="0" w:color="auto"/>
        <w:bottom w:val="none" w:sz="0" w:space="0" w:color="auto"/>
        <w:right w:val="none" w:sz="0" w:space="0" w:color="auto"/>
      </w:divBdr>
    </w:div>
    <w:div w:id="1077170053">
      <w:bodyDiv w:val="1"/>
      <w:marLeft w:val="0"/>
      <w:marRight w:val="0"/>
      <w:marTop w:val="0"/>
      <w:marBottom w:val="0"/>
      <w:divBdr>
        <w:top w:val="none" w:sz="0" w:space="0" w:color="auto"/>
        <w:left w:val="none" w:sz="0" w:space="0" w:color="auto"/>
        <w:bottom w:val="none" w:sz="0" w:space="0" w:color="auto"/>
        <w:right w:val="none" w:sz="0" w:space="0" w:color="auto"/>
      </w:divBdr>
    </w:div>
    <w:div w:id="1156385480">
      <w:bodyDiv w:val="1"/>
      <w:marLeft w:val="0"/>
      <w:marRight w:val="0"/>
      <w:marTop w:val="0"/>
      <w:marBottom w:val="0"/>
      <w:divBdr>
        <w:top w:val="none" w:sz="0" w:space="0" w:color="auto"/>
        <w:left w:val="none" w:sz="0" w:space="0" w:color="auto"/>
        <w:bottom w:val="none" w:sz="0" w:space="0" w:color="auto"/>
        <w:right w:val="none" w:sz="0" w:space="0" w:color="auto"/>
      </w:divBdr>
    </w:div>
    <w:div w:id="1168058557">
      <w:bodyDiv w:val="1"/>
      <w:marLeft w:val="0"/>
      <w:marRight w:val="0"/>
      <w:marTop w:val="0"/>
      <w:marBottom w:val="0"/>
      <w:divBdr>
        <w:top w:val="none" w:sz="0" w:space="0" w:color="auto"/>
        <w:left w:val="none" w:sz="0" w:space="0" w:color="auto"/>
        <w:bottom w:val="none" w:sz="0" w:space="0" w:color="auto"/>
        <w:right w:val="none" w:sz="0" w:space="0" w:color="auto"/>
      </w:divBdr>
    </w:div>
    <w:div w:id="1319072279">
      <w:bodyDiv w:val="1"/>
      <w:marLeft w:val="0"/>
      <w:marRight w:val="0"/>
      <w:marTop w:val="0"/>
      <w:marBottom w:val="0"/>
      <w:divBdr>
        <w:top w:val="none" w:sz="0" w:space="0" w:color="auto"/>
        <w:left w:val="none" w:sz="0" w:space="0" w:color="auto"/>
        <w:bottom w:val="none" w:sz="0" w:space="0" w:color="auto"/>
        <w:right w:val="none" w:sz="0" w:space="0" w:color="auto"/>
      </w:divBdr>
    </w:div>
    <w:div w:id="1334068601">
      <w:bodyDiv w:val="1"/>
      <w:marLeft w:val="0"/>
      <w:marRight w:val="0"/>
      <w:marTop w:val="0"/>
      <w:marBottom w:val="0"/>
      <w:divBdr>
        <w:top w:val="none" w:sz="0" w:space="0" w:color="auto"/>
        <w:left w:val="none" w:sz="0" w:space="0" w:color="auto"/>
        <w:bottom w:val="none" w:sz="0" w:space="0" w:color="auto"/>
        <w:right w:val="none" w:sz="0" w:space="0" w:color="auto"/>
      </w:divBdr>
    </w:div>
    <w:div w:id="1353803453">
      <w:bodyDiv w:val="1"/>
      <w:marLeft w:val="0"/>
      <w:marRight w:val="0"/>
      <w:marTop w:val="0"/>
      <w:marBottom w:val="0"/>
      <w:divBdr>
        <w:top w:val="none" w:sz="0" w:space="0" w:color="auto"/>
        <w:left w:val="none" w:sz="0" w:space="0" w:color="auto"/>
        <w:bottom w:val="none" w:sz="0" w:space="0" w:color="auto"/>
        <w:right w:val="none" w:sz="0" w:space="0" w:color="auto"/>
      </w:divBdr>
    </w:div>
    <w:div w:id="1374618773">
      <w:bodyDiv w:val="1"/>
      <w:marLeft w:val="0"/>
      <w:marRight w:val="0"/>
      <w:marTop w:val="0"/>
      <w:marBottom w:val="0"/>
      <w:divBdr>
        <w:top w:val="none" w:sz="0" w:space="0" w:color="auto"/>
        <w:left w:val="none" w:sz="0" w:space="0" w:color="auto"/>
        <w:bottom w:val="none" w:sz="0" w:space="0" w:color="auto"/>
        <w:right w:val="none" w:sz="0" w:space="0" w:color="auto"/>
      </w:divBdr>
    </w:div>
    <w:div w:id="1431049324">
      <w:bodyDiv w:val="1"/>
      <w:marLeft w:val="0"/>
      <w:marRight w:val="0"/>
      <w:marTop w:val="0"/>
      <w:marBottom w:val="0"/>
      <w:divBdr>
        <w:top w:val="none" w:sz="0" w:space="0" w:color="auto"/>
        <w:left w:val="none" w:sz="0" w:space="0" w:color="auto"/>
        <w:bottom w:val="none" w:sz="0" w:space="0" w:color="auto"/>
        <w:right w:val="none" w:sz="0" w:space="0" w:color="auto"/>
      </w:divBdr>
    </w:div>
    <w:div w:id="1529173551">
      <w:bodyDiv w:val="1"/>
      <w:marLeft w:val="0"/>
      <w:marRight w:val="0"/>
      <w:marTop w:val="0"/>
      <w:marBottom w:val="0"/>
      <w:divBdr>
        <w:top w:val="none" w:sz="0" w:space="0" w:color="auto"/>
        <w:left w:val="none" w:sz="0" w:space="0" w:color="auto"/>
        <w:bottom w:val="none" w:sz="0" w:space="0" w:color="auto"/>
        <w:right w:val="none" w:sz="0" w:space="0" w:color="auto"/>
      </w:divBdr>
    </w:div>
    <w:div w:id="1533834622">
      <w:bodyDiv w:val="1"/>
      <w:marLeft w:val="0"/>
      <w:marRight w:val="0"/>
      <w:marTop w:val="0"/>
      <w:marBottom w:val="0"/>
      <w:divBdr>
        <w:top w:val="none" w:sz="0" w:space="0" w:color="auto"/>
        <w:left w:val="none" w:sz="0" w:space="0" w:color="auto"/>
        <w:bottom w:val="none" w:sz="0" w:space="0" w:color="auto"/>
        <w:right w:val="none" w:sz="0" w:space="0" w:color="auto"/>
      </w:divBdr>
    </w:div>
    <w:div w:id="1666588008">
      <w:bodyDiv w:val="1"/>
      <w:marLeft w:val="0"/>
      <w:marRight w:val="0"/>
      <w:marTop w:val="0"/>
      <w:marBottom w:val="0"/>
      <w:divBdr>
        <w:top w:val="none" w:sz="0" w:space="0" w:color="auto"/>
        <w:left w:val="none" w:sz="0" w:space="0" w:color="auto"/>
        <w:bottom w:val="none" w:sz="0" w:space="0" w:color="auto"/>
        <w:right w:val="none" w:sz="0" w:space="0" w:color="auto"/>
      </w:divBdr>
    </w:div>
    <w:div w:id="1730182780">
      <w:bodyDiv w:val="1"/>
      <w:marLeft w:val="0"/>
      <w:marRight w:val="0"/>
      <w:marTop w:val="0"/>
      <w:marBottom w:val="0"/>
      <w:divBdr>
        <w:top w:val="none" w:sz="0" w:space="0" w:color="auto"/>
        <w:left w:val="none" w:sz="0" w:space="0" w:color="auto"/>
        <w:bottom w:val="none" w:sz="0" w:space="0" w:color="auto"/>
        <w:right w:val="none" w:sz="0" w:space="0" w:color="auto"/>
      </w:divBdr>
    </w:div>
    <w:div w:id="1733695381">
      <w:bodyDiv w:val="1"/>
      <w:marLeft w:val="0"/>
      <w:marRight w:val="0"/>
      <w:marTop w:val="0"/>
      <w:marBottom w:val="0"/>
      <w:divBdr>
        <w:top w:val="none" w:sz="0" w:space="0" w:color="auto"/>
        <w:left w:val="none" w:sz="0" w:space="0" w:color="auto"/>
        <w:bottom w:val="none" w:sz="0" w:space="0" w:color="auto"/>
        <w:right w:val="none" w:sz="0" w:space="0" w:color="auto"/>
      </w:divBdr>
    </w:div>
    <w:div w:id="1782645059">
      <w:bodyDiv w:val="1"/>
      <w:marLeft w:val="0"/>
      <w:marRight w:val="0"/>
      <w:marTop w:val="0"/>
      <w:marBottom w:val="0"/>
      <w:divBdr>
        <w:top w:val="none" w:sz="0" w:space="0" w:color="auto"/>
        <w:left w:val="none" w:sz="0" w:space="0" w:color="auto"/>
        <w:bottom w:val="none" w:sz="0" w:space="0" w:color="auto"/>
        <w:right w:val="none" w:sz="0" w:space="0" w:color="auto"/>
      </w:divBdr>
    </w:div>
    <w:div w:id="1803307175">
      <w:bodyDiv w:val="1"/>
      <w:marLeft w:val="0"/>
      <w:marRight w:val="0"/>
      <w:marTop w:val="0"/>
      <w:marBottom w:val="0"/>
      <w:divBdr>
        <w:top w:val="none" w:sz="0" w:space="0" w:color="auto"/>
        <w:left w:val="none" w:sz="0" w:space="0" w:color="auto"/>
        <w:bottom w:val="none" w:sz="0" w:space="0" w:color="auto"/>
        <w:right w:val="none" w:sz="0" w:space="0" w:color="auto"/>
      </w:divBdr>
    </w:div>
    <w:div w:id="1868710739">
      <w:bodyDiv w:val="1"/>
      <w:marLeft w:val="0"/>
      <w:marRight w:val="0"/>
      <w:marTop w:val="0"/>
      <w:marBottom w:val="0"/>
      <w:divBdr>
        <w:top w:val="none" w:sz="0" w:space="0" w:color="auto"/>
        <w:left w:val="none" w:sz="0" w:space="0" w:color="auto"/>
        <w:bottom w:val="none" w:sz="0" w:space="0" w:color="auto"/>
        <w:right w:val="none" w:sz="0" w:space="0" w:color="auto"/>
      </w:divBdr>
    </w:div>
    <w:div w:id="1929342399">
      <w:bodyDiv w:val="1"/>
      <w:marLeft w:val="0"/>
      <w:marRight w:val="0"/>
      <w:marTop w:val="0"/>
      <w:marBottom w:val="0"/>
      <w:divBdr>
        <w:top w:val="none" w:sz="0" w:space="0" w:color="auto"/>
        <w:left w:val="none" w:sz="0" w:space="0" w:color="auto"/>
        <w:bottom w:val="none" w:sz="0" w:space="0" w:color="auto"/>
        <w:right w:val="none" w:sz="0" w:space="0" w:color="auto"/>
      </w:divBdr>
    </w:div>
    <w:div w:id="1941911093">
      <w:bodyDiv w:val="1"/>
      <w:marLeft w:val="0"/>
      <w:marRight w:val="0"/>
      <w:marTop w:val="0"/>
      <w:marBottom w:val="0"/>
      <w:divBdr>
        <w:top w:val="none" w:sz="0" w:space="0" w:color="auto"/>
        <w:left w:val="none" w:sz="0" w:space="0" w:color="auto"/>
        <w:bottom w:val="none" w:sz="0" w:space="0" w:color="auto"/>
        <w:right w:val="none" w:sz="0" w:space="0" w:color="auto"/>
      </w:divBdr>
    </w:div>
    <w:div w:id="1955944483">
      <w:bodyDiv w:val="1"/>
      <w:marLeft w:val="0"/>
      <w:marRight w:val="0"/>
      <w:marTop w:val="0"/>
      <w:marBottom w:val="0"/>
      <w:divBdr>
        <w:top w:val="none" w:sz="0" w:space="0" w:color="auto"/>
        <w:left w:val="none" w:sz="0" w:space="0" w:color="auto"/>
        <w:bottom w:val="none" w:sz="0" w:space="0" w:color="auto"/>
        <w:right w:val="none" w:sz="0" w:space="0" w:color="auto"/>
      </w:divBdr>
    </w:div>
    <w:div w:id="2024821869">
      <w:bodyDiv w:val="1"/>
      <w:marLeft w:val="0"/>
      <w:marRight w:val="0"/>
      <w:marTop w:val="0"/>
      <w:marBottom w:val="0"/>
      <w:divBdr>
        <w:top w:val="none" w:sz="0" w:space="0" w:color="auto"/>
        <w:left w:val="none" w:sz="0" w:space="0" w:color="auto"/>
        <w:bottom w:val="none" w:sz="0" w:space="0" w:color="auto"/>
        <w:right w:val="none" w:sz="0" w:space="0" w:color="auto"/>
      </w:divBdr>
    </w:div>
    <w:div w:id="204374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h.wa.gov/ForPublicHealthandHealthcareProviders/PublicHealthSystemResourcesandServices/Immunization/InfluenzaFluInformation" TargetMode="External"/><Relationship Id="rId3" Type="http://schemas.openxmlformats.org/officeDocument/2006/relationships/settings" Target="settings.xml"/><Relationship Id="rId7" Type="http://schemas.openxmlformats.org/officeDocument/2006/relationships/hyperlink" Target="https://www.doh.wa.gov/Emergencies/COVID19/HealthcareProviders/LongTermCareFacilit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dc.gov/flu/profession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91664-897A-43F5-BA59-53BF178B8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Quick Guide for Long Term Care Facilities-Influenza Outbreaks</vt:lpstr>
    </vt:vector>
  </TitlesOfParts>
  <Company>Washington State Department of Health</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Guide for Long Term Care Facilities-Influenza Outbreaks</dc:title>
  <dc:subject>A quick guide for local health jurisdictions (LHJ) to distribute to long-term care facilities on how to detect and handle an influenza outbreak in their facilities. This document may be altered to include LHJ logo and contact information for reporting outbreaks.</dc:subject>
  <dc:creator>Washington State Department of Health - DCHS - Communicable Disease Epidemiology</dc:creator>
  <cp:keywords/>
  <dc:description/>
  <cp:lastModifiedBy>Terao, Doreen  (DOH)</cp:lastModifiedBy>
  <cp:revision>3</cp:revision>
  <dcterms:created xsi:type="dcterms:W3CDTF">2020-11-09T22:36:00Z</dcterms:created>
  <dcterms:modified xsi:type="dcterms:W3CDTF">2020-11-09T22:45:00Z</dcterms:modified>
</cp:coreProperties>
</file>