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17" w:rsidRPr="00291D16" w:rsidRDefault="003C23EF" w:rsidP="00FA0AFA">
      <w:pPr>
        <w:jc w:val="center"/>
        <w:rPr>
          <w:b/>
          <w:sz w:val="22"/>
          <w:szCs w:val="22"/>
        </w:rPr>
      </w:pPr>
      <w:r w:rsidRPr="00291D16">
        <w:rPr>
          <w:b/>
          <w:sz w:val="22"/>
          <w:szCs w:val="22"/>
        </w:rPr>
        <w:t>2</w:t>
      </w:r>
      <w:r w:rsidR="00EE2117" w:rsidRPr="00291D16">
        <w:rPr>
          <w:b/>
          <w:sz w:val="22"/>
          <w:szCs w:val="22"/>
        </w:rPr>
        <w:t>0</w:t>
      </w:r>
      <w:r w:rsidR="00876C31" w:rsidRPr="00291D16">
        <w:rPr>
          <w:b/>
          <w:sz w:val="22"/>
          <w:szCs w:val="22"/>
        </w:rPr>
        <w:t>1</w:t>
      </w:r>
      <w:r w:rsidR="00D42F4C" w:rsidRPr="00291D16">
        <w:rPr>
          <w:b/>
          <w:sz w:val="22"/>
          <w:szCs w:val="22"/>
        </w:rPr>
        <w:t>8</w:t>
      </w:r>
      <w:r w:rsidR="00EE2117" w:rsidRPr="00291D16">
        <w:rPr>
          <w:b/>
          <w:sz w:val="22"/>
          <w:szCs w:val="22"/>
        </w:rPr>
        <w:t>-20</w:t>
      </w:r>
      <w:r w:rsidR="00D42F4C" w:rsidRPr="00291D16">
        <w:rPr>
          <w:b/>
          <w:sz w:val="22"/>
          <w:szCs w:val="22"/>
        </w:rPr>
        <w:t>20</w:t>
      </w:r>
      <w:r w:rsidR="00C95CCC" w:rsidRPr="00291D16">
        <w:rPr>
          <w:b/>
          <w:sz w:val="22"/>
          <w:szCs w:val="22"/>
        </w:rPr>
        <w:t xml:space="preserve"> Consolidated </w:t>
      </w:r>
      <w:r w:rsidR="00B46F3E" w:rsidRPr="00291D16">
        <w:rPr>
          <w:b/>
          <w:sz w:val="22"/>
          <w:szCs w:val="22"/>
        </w:rPr>
        <w:t>Contract</w:t>
      </w:r>
    </w:p>
    <w:p w:rsidR="00FA0AFA" w:rsidRPr="00291D16" w:rsidRDefault="00FA0AFA" w:rsidP="00FA0AFA">
      <w:pPr>
        <w:jc w:val="center"/>
        <w:rPr>
          <w:b/>
          <w:sz w:val="22"/>
          <w:szCs w:val="22"/>
        </w:rPr>
      </w:pPr>
      <w:r w:rsidRPr="00291D16">
        <w:rPr>
          <w:b/>
          <w:sz w:val="22"/>
          <w:szCs w:val="22"/>
        </w:rPr>
        <w:t>Billing Instructions</w:t>
      </w:r>
    </w:p>
    <w:p w:rsidR="00FA0AFA" w:rsidRPr="00291D16" w:rsidRDefault="00FA0AFA" w:rsidP="00FA0AFA">
      <w:pPr>
        <w:jc w:val="center"/>
        <w:rPr>
          <w:b/>
          <w:sz w:val="22"/>
          <w:szCs w:val="22"/>
        </w:rPr>
      </w:pPr>
    </w:p>
    <w:p w:rsidR="00516523" w:rsidRPr="00754023" w:rsidRDefault="00516523" w:rsidP="00FA0AFA">
      <w:pPr>
        <w:jc w:val="center"/>
        <w:rPr>
          <w:sz w:val="22"/>
          <w:szCs w:val="22"/>
        </w:rPr>
      </w:pPr>
    </w:p>
    <w:p w:rsidR="008823B0" w:rsidRPr="00516523" w:rsidRDefault="008E7772" w:rsidP="00600D6B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516523">
        <w:rPr>
          <w:sz w:val="20"/>
          <w:szCs w:val="20"/>
        </w:rPr>
        <w:t xml:space="preserve">The </w:t>
      </w:r>
      <w:r w:rsidR="00D769A8" w:rsidRPr="00516523">
        <w:rPr>
          <w:sz w:val="20"/>
          <w:szCs w:val="20"/>
        </w:rPr>
        <w:t>Local Health Jur</w:t>
      </w:r>
      <w:r w:rsidR="002D69B7" w:rsidRPr="00516523">
        <w:rPr>
          <w:sz w:val="20"/>
          <w:szCs w:val="20"/>
        </w:rPr>
        <w:t>i</w:t>
      </w:r>
      <w:r w:rsidR="00D769A8" w:rsidRPr="00516523">
        <w:rPr>
          <w:sz w:val="20"/>
          <w:szCs w:val="20"/>
        </w:rPr>
        <w:t>sdiction (LHJ)</w:t>
      </w:r>
      <w:r w:rsidRPr="00516523">
        <w:rPr>
          <w:sz w:val="20"/>
          <w:szCs w:val="20"/>
        </w:rPr>
        <w:t xml:space="preserve"> will submit accurate and timely billings</w:t>
      </w:r>
      <w:r w:rsidR="002D69B7" w:rsidRPr="00516523">
        <w:rPr>
          <w:sz w:val="20"/>
          <w:szCs w:val="20"/>
        </w:rPr>
        <w:t xml:space="preserve"> for services provided through the Consolidated Contract. </w:t>
      </w:r>
      <w:r w:rsidRPr="00516523">
        <w:rPr>
          <w:sz w:val="20"/>
          <w:szCs w:val="20"/>
        </w:rPr>
        <w:t xml:space="preserve"> </w:t>
      </w:r>
      <w:r w:rsidR="002D69B7" w:rsidRPr="00516523">
        <w:rPr>
          <w:sz w:val="20"/>
          <w:szCs w:val="20"/>
        </w:rPr>
        <w:t>T</w:t>
      </w:r>
      <w:r w:rsidR="00B46F3E" w:rsidRPr="00516523">
        <w:rPr>
          <w:sz w:val="20"/>
          <w:szCs w:val="20"/>
        </w:rPr>
        <w:t>he State form A</w:t>
      </w:r>
      <w:r w:rsidRPr="00516523">
        <w:rPr>
          <w:sz w:val="20"/>
          <w:szCs w:val="20"/>
        </w:rPr>
        <w:t>19</w:t>
      </w:r>
      <w:r w:rsidR="000C3719" w:rsidRPr="00516523">
        <w:rPr>
          <w:sz w:val="20"/>
          <w:szCs w:val="20"/>
        </w:rPr>
        <w:t>-1A</w:t>
      </w:r>
      <w:r w:rsidRPr="00516523">
        <w:rPr>
          <w:sz w:val="20"/>
          <w:szCs w:val="20"/>
        </w:rPr>
        <w:t xml:space="preserve"> Invoice Voucher</w:t>
      </w:r>
      <w:r w:rsidR="002D69B7" w:rsidRPr="00516523">
        <w:rPr>
          <w:sz w:val="20"/>
          <w:szCs w:val="20"/>
        </w:rPr>
        <w:t xml:space="preserve"> provided by the Department of Health (DOH) must be used for clarity and consistency in billing.</w:t>
      </w:r>
    </w:p>
    <w:p w:rsidR="00A12A61" w:rsidRPr="00516523" w:rsidRDefault="00A12A61" w:rsidP="00A12A61">
      <w:pPr>
        <w:ind w:left="360"/>
        <w:rPr>
          <w:sz w:val="20"/>
          <w:szCs w:val="20"/>
        </w:rPr>
      </w:pPr>
    </w:p>
    <w:p w:rsidR="00C95D84" w:rsidRPr="00516523" w:rsidRDefault="006A2016" w:rsidP="00600D6B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516523">
        <w:rPr>
          <w:sz w:val="20"/>
          <w:szCs w:val="20"/>
        </w:rPr>
        <w:t>The A19 Page 2 billing detail document provided by DOH must be submitted with the A19-1A Invoice Voucher in order for payment to be made.  The A19 Page 2 billing detail document lists programs in BARS revenue code order and contains programs that are available for billing in that month.  The current A19 and Pag</w:t>
      </w:r>
      <w:bookmarkStart w:id="0" w:name="_GoBack"/>
      <w:bookmarkEnd w:id="0"/>
      <w:r w:rsidRPr="00516523">
        <w:rPr>
          <w:sz w:val="20"/>
          <w:szCs w:val="20"/>
        </w:rPr>
        <w:t xml:space="preserve">e 2 documents can be accessed by selecting the appropriate LHJ link at the following web address: </w:t>
      </w:r>
      <w:hyperlink r:id="rId8" w:history="1">
        <w:r w:rsidR="000812FC" w:rsidRPr="00516523">
          <w:rPr>
            <w:rStyle w:val="Hyperlink"/>
            <w:sz w:val="20"/>
            <w:szCs w:val="20"/>
          </w:rPr>
          <w:t>http://www.doh.wa.gov/PublicHealthandHealthcareProviders/PublicHealthSystemResourcesandServices/Funding/ConsolidatedContracts/LocalHealthJurisdictions.aspx</w:t>
        </w:r>
      </w:hyperlink>
    </w:p>
    <w:p w:rsidR="00803272" w:rsidRPr="00516523" w:rsidRDefault="00803272" w:rsidP="00600D6B">
      <w:pPr>
        <w:pStyle w:val="ListParagraph"/>
        <w:tabs>
          <w:tab w:val="num" w:pos="720"/>
        </w:tabs>
        <w:ind w:hanging="360"/>
        <w:rPr>
          <w:sz w:val="20"/>
          <w:szCs w:val="20"/>
        </w:rPr>
      </w:pPr>
    </w:p>
    <w:p w:rsidR="00803272" w:rsidRPr="00516523" w:rsidRDefault="00803272" w:rsidP="00516523">
      <w:pPr>
        <w:tabs>
          <w:tab w:val="num" w:pos="720"/>
        </w:tabs>
        <w:ind w:left="720"/>
        <w:rPr>
          <w:sz w:val="20"/>
          <w:szCs w:val="20"/>
        </w:rPr>
      </w:pPr>
      <w:r w:rsidRPr="00516523">
        <w:rPr>
          <w:sz w:val="20"/>
          <w:szCs w:val="20"/>
        </w:rPr>
        <w:t xml:space="preserve">In order to promptly review, approve and process your billing request, it is important </w:t>
      </w:r>
      <w:r w:rsidR="00516523">
        <w:rPr>
          <w:sz w:val="20"/>
          <w:szCs w:val="20"/>
        </w:rPr>
        <w:t>DOH receives</w:t>
      </w:r>
      <w:r w:rsidRPr="00516523">
        <w:rPr>
          <w:sz w:val="20"/>
          <w:szCs w:val="20"/>
        </w:rPr>
        <w:t xml:space="preserve"> the current forms and documentation requested.</w:t>
      </w:r>
    </w:p>
    <w:p w:rsidR="00C95D84" w:rsidRPr="00516523" w:rsidRDefault="00C95D84" w:rsidP="00C95D84">
      <w:pPr>
        <w:rPr>
          <w:sz w:val="20"/>
          <w:szCs w:val="20"/>
        </w:rPr>
      </w:pPr>
    </w:p>
    <w:p w:rsidR="00E76868" w:rsidRPr="00516523" w:rsidRDefault="00570A60" w:rsidP="00033C8B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516523">
        <w:rPr>
          <w:sz w:val="20"/>
          <w:szCs w:val="20"/>
        </w:rPr>
        <w:t>Invoice V</w:t>
      </w:r>
      <w:r w:rsidR="00E76868" w:rsidRPr="00516523">
        <w:rPr>
          <w:sz w:val="20"/>
          <w:szCs w:val="20"/>
        </w:rPr>
        <w:t xml:space="preserve">ouchers </w:t>
      </w:r>
      <w:r w:rsidR="00E30601" w:rsidRPr="00516523">
        <w:rPr>
          <w:sz w:val="20"/>
          <w:szCs w:val="20"/>
        </w:rPr>
        <w:t>may</w:t>
      </w:r>
      <w:r w:rsidR="00E76868" w:rsidRPr="00516523">
        <w:rPr>
          <w:sz w:val="20"/>
          <w:szCs w:val="20"/>
        </w:rPr>
        <w:t xml:space="preserve"> be billed monthly unless otherwise stated in the spe</w:t>
      </w:r>
      <w:r w:rsidR="006A2016" w:rsidRPr="00516523">
        <w:rPr>
          <w:sz w:val="20"/>
          <w:szCs w:val="20"/>
        </w:rPr>
        <w:t>cific program Statement of Work</w:t>
      </w:r>
      <w:r w:rsidR="00E76868" w:rsidRPr="00516523">
        <w:rPr>
          <w:sz w:val="20"/>
          <w:szCs w:val="20"/>
        </w:rPr>
        <w:t xml:space="preserve"> and must be received within 60 days of the close of the month in which services were provided.</w:t>
      </w:r>
    </w:p>
    <w:p w:rsidR="002D2019" w:rsidRPr="00516523" w:rsidRDefault="002D2019" w:rsidP="00E76868">
      <w:pPr>
        <w:ind w:left="360"/>
        <w:rPr>
          <w:sz w:val="20"/>
          <w:szCs w:val="20"/>
        </w:rPr>
      </w:pPr>
    </w:p>
    <w:p w:rsidR="00600D6B" w:rsidRPr="00516523" w:rsidRDefault="00400A5B" w:rsidP="00033C8B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516523">
        <w:rPr>
          <w:sz w:val="20"/>
          <w:szCs w:val="20"/>
        </w:rPr>
        <w:t xml:space="preserve">The </w:t>
      </w:r>
      <w:r w:rsidR="00E141CF" w:rsidRPr="00516523">
        <w:rPr>
          <w:sz w:val="20"/>
          <w:szCs w:val="20"/>
        </w:rPr>
        <w:t xml:space="preserve">source of funds </w:t>
      </w:r>
      <w:r w:rsidR="00CA7CB7" w:rsidRPr="00516523">
        <w:rPr>
          <w:sz w:val="20"/>
          <w:szCs w:val="20"/>
        </w:rPr>
        <w:t xml:space="preserve">may require that billings be received within a certain </w:t>
      </w:r>
      <w:r w:rsidR="00570A60" w:rsidRPr="00516523">
        <w:rPr>
          <w:sz w:val="20"/>
          <w:szCs w:val="20"/>
        </w:rPr>
        <w:t xml:space="preserve">time </w:t>
      </w:r>
      <w:r w:rsidR="00CA7CB7" w:rsidRPr="00516523">
        <w:rPr>
          <w:sz w:val="20"/>
          <w:szCs w:val="20"/>
        </w:rPr>
        <w:t>period to ensure availability of funds for payment due to federal grant closures and state reporting requirements.</w:t>
      </w:r>
      <w:r w:rsidR="00C46745" w:rsidRPr="00516523">
        <w:rPr>
          <w:sz w:val="20"/>
          <w:szCs w:val="20"/>
        </w:rPr>
        <w:t xml:space="preserve">  Specific dates for performance and incurring related allowable costs are included in the Statement of Work.</w:t>
      </w:r>
    </w:p>
    <w:p w:rsidR="00600D6B" w:rsidRPr="00516523" w:rsidRDefault="00600D6B" w:rsidP="00600D6B">
      <w:pPr>
        <w:pStyle w:val="ListParagraph"/>
        <w:rPr>
          <w:sz w:val="20"/>
          <w:szCs w:val="20"/>
        </w:rPr>
      </w:pPr>
    </w:p>
    <w:p w:rsidR="00600D6B" w:rsidRPr="00516523" w:rsidRDefault="00600D6B" w:rsidP="00033C8B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516523">
        <w:rPr>
          <w:sz w:val="20"/>
          <w:szCs w:val="20"/>
        </w:rPr>
        <w:t>Billings/invoices must include expenditure object/category information for each program (i.e. salaries, benefits, travel, equipment, goods and services, contracts, etc.).  A summary sheet of expenditures by category must be include</w:t>
      </w:r>
      <w:r w:rsidR="00516523" w:rsidRPr="00516523">
        <w:rPr>
          <w:sz w:val="20"/>
          <w:szCs w:val="20"/>
        </w:rPr>
        <w:t xml:space="preserve">d along with a copy of a system </w:t>
      </w:r>
      <w:r w:rsidRPr="00516523">
        <w:rPr>
          <w:sz w:val="20"/>
          <w:szCs w:val="20"/>
        </w:rPr>
        <w:t>generated report (e.g. trial balance, expenditure report, general ledger report) from your accounting system supporting the summary.  Expenditure categories to be included are:</w:t>
      </w:r>
    </w:p>
    <w:p w:rsidR="00F824BE" w:rsidRPr="00516523" w:rsidRDefault="00F824BE" w:rsidP="00F824BE">
      <w:pPr>
        <w:pStyle w:val="ListParagraph"/>
        <w:rPr>
          <w:sz w:val="20"/>
          <w:szCs w:val="20"/>
        </w:rPr>
      </w:pPr>
    </w:p>
    <w:p w:rsidR="00F824BE" w:rsidRPr="00516523" w:rsidRDefault="00F824BE" w:rsidP="00033C8B">
      <w:pPr>
        <w:pStyle w:val="ListParagraph"/>
        <w:numPr>
          <w:ilvl w:val="0"/>
          <w:numId w:val="3"/>
        </w:numPr>
        <w:ind w:left="1080"/>
        <w:contextualSpacing w:val="0"/>
        <w:rPr>
          <w:color w:val="000000"/>
          <w:sz w:val="20"/>
          <w:szCs w:val="20"/>
        </w:rPr>
      </w:pPr>
      <w:r w:rsidRPr="00516523">
        <w:rPr>
          <w:color w:val="000000"/>
          <w:sz w:val="20"/>
          <w:szCs w:val="20"/>
        </w:rPr>
        <w:t>Salaries</w:t>
      </w:r>
    </w:p>
    <w:p w:rsidR="00F824BE" w:rsidRPr="00516523" w:rsidRDefault="00F824BE" w:rsidP="00033C8B">
      <w:pPr>
        <w:pStyle w:val="ListParagraph"/>
        <w:numPr>
          <w:ilvl w:val="0"/>
          <w:numId w:val="3"/>
        </w:numPr>
        <w:ind w:left="1080"/>
        <w:contextualSpacing w:val="0"/>
        <w:rPr>
          <w:color w:val="000000"/>
          <w:sz w:val="20"/>
          <w:szCs w:val="20"/>
        </w:rPr>
      </w:pPr>
      <w:r w:rsidRPr="00516523">
        <w:rPr>
          <w:color w:val="000000"/>
          <w:sz w:val="20"/>
          <w:szCs w:val="20"/>
        </w:rPr>
        <w:t>Benefits</w:t>
      </w:r>
    </w:p>
    <w:p w:rsidR="00F824BE" w:rsidRPr="00516523" w:rsidRDefault="00F824BE" w:rsidP="00033C8B">
      <w:pPr>
        <w:pStyle w:val="ListParagraph"/>
        <w:numPr>
          <w:ilvl w:val="0"/>
          <w:numId w:val="3"/>
        </w:numPr>
        <w:ind w:left="1080"/>
        <w:contextualSpacing w:val="0"/>
        <w:rPr>
          <w:color w:val="000000"/>
          <w:sz w:val="20"/>
          <w:szCs w:val="20"/>
        </w:rPr>
      </w:pPr>
      <w:r w:rsidRPr="00516523">
        <w:rPr>
          <w:color w:val="000000"/>
          <w:sz w:val="20"/>
          <w:szCs w:val="20"/>
        </w:rPr>
        <w:t>Equipment</w:t>
      </w:r>
    </w:p>
    <w:p w:rsidR="00F824BE" w:rsidRPr="00516523" w:rsidRDefault="00F824BE" w:rsidP="00033C8B">
      <w:pPr>
        <w:pStyle w:val="ListParagraph"/>
        <w:numPr>
          <w:ilvl w:val="0"/>
          <w:numId w:val="3"/>
        </w:numPr>
        <w:ind w:left="1080"/>
        <w:contextualSpacing w:val="0"/>
        <w:rPr>
          <w:color w:val="000000"/>
          <w:sz w:val="20"/>
          <w:szCs w:val="20"/>
        </w:rPr>
      </w:pPr>
      <w:r w:rsidRPr="00516523">
        <w:rPr>
          <w:color w:val="000000"/>
          <w:sz w:val="20"/>
          <w:szCs w:val="20"/>
        </w:rPr>
        <w:t>Supplies</w:t>
      </w:r>
    </w:p>
    <w:p w:rsidR="00F824BE" w:rsidRPr="00516523" w:rsidRDefault="00F824BE" w:rsidP="00033C8B">
      <w:pPr>
        <w:pStyle w:val="ListParagraph"/>
        <w:numPr>
          <w:ilvl w:val="0"/>
          <w:numId w:val="3"/>
        </w:numPr>
        <w:ind w:left="1080"/>
        <w:contextualSpacing w:val="0"/>
        <w:rPr>
          <w:color w:val="000000"/>
          <w:sz w:val="20"/>
          <w:szCs w:val="20"/>
        </w:rPr>
      </w:pPr>
      <w:r w:rsidRPr="00516523">
        <w:rPr>
          <w:color w:val="000000"/>
          <w:sz w:val="20"/>
          <w:szCs w:val="20"/>
        </w:rPr>
        <w:t>Travel</w:t>
      </w:r>
    </w:p>
    <w:p w:rsidR="00F824BE" w:rsidRPr="00516523" w:rsidRDefault="00F824BE" w:rsidP="00033C8B">
      <w:pPr>
        <w:pStyle w:val="ListParagraph"/>
        <w:numPr>
          <w:ilvl w:val="0"/>
          <w:numId w:val="3"/>
        </w:numPr>
        <w:ind w:left="1080"/>
        <w:contextualSpacing w:val="0"/>
        <w:rPr>
          <w:color w:val="000000"/>
          <w:sz w:val="20"/>
          <w:szCs w:val="20"/>
        </w:rPr>
      </w:pPr>
      <w:r w:rsidRPr="00516523">
        <w:rPr>
          <w:color w:val="000000"/>
          <w:sz w:val="20"/>
          <w:szCs w:val="20"/>
        </w:rPr>
        <w:t>Subrecipients/Contractors</w:t>
      </w:r>
    </w:p>
    <w:p w:rsidR="00F824BE" w:rsidRPr="00516523" w:rsidRDefault="00F824BE" w:rsidP="00033C8B">
      <w:pPr>
        <w:pStyle w:val="ListParagraph"/>
        <w:numPr>
          <w:ilvl w:val="0"/>
          <w:numId w:val="3"/>
        </w:numPr>
        <w:ind w:left="1080"/>
        <w:contextualSpacing w:val="0"/>
        <w:rPr>
          <w:color w:val="000000"/>
          <w:sz w:val="20"/>
          <w:szCs w:val="20"/>
        </w:rPr>
      </w:pPr>
      <w:r w:rsidRPr="00516523">
        <w:rPr>
          <w:color w:val="000000"/>
          <w:sz w:val="20"/>
          <w:szCs w:val="20"/>
        </w:rPr>
        <w:t>Administrative/Indirects</w:t>
      </w:r>
    </w:p>
    <w:p w:rsidR="00F824BE" w:rsidRPr="00516523" w:rsidRDefault="00F824BE" w:rsidP="00033C8B">
      <w:pPr>
        <w:numPr>
          <w:ilvl w:val="0"/>
          <w:numId w:val="3"/>
        </w:numPr>
        <w:ind w:left="1080"/>
        <w:rPr>
          <w:sz w:val="20"/>
          <w:szCs w:val="20"/>
        </w:rPr>
      </w:pPr>
      <w:r w:rsidRPr="00516523">
        <w:rPr>
          <w:color w:val="000000"/>
          <w:sz w:val="20"/>
          <w:szCs w:val="20"/>
        </w:rPr>
        <w:t>Other</w:t>
      </w:r>
    </w:p>
    <w:p w:rsidR="00CE7DA9" w:rsidRPr="00516523" w:rsidRDefault="00CE7DA9" w:rsidP="00CE7DA9">
      <w:pPr>
        <w:pStyle w:val="ListParagraph"/>
        <w:rPr>
          <w:sz w:val="20"/>
          <w:szCs w:val="20"/>
        </w:rPr>
      </w:pPr>
    </w:p>
    <w:p w:rsidR="00E30601" w:rsidRPr="00516523" w:rsidRDefault="00CE7DA9" w:rsidP="00033C8B">
      <w:pPr>
        <w:ind w:left="720"/>
        <w:rPr>
          <w:sz w:val="20"/>
          <w:szCs w:val="20"/>
        </w:rPr>
      </w:pPr>
      <w:r w:rsidRPr="00516523">
        <w:rPr>
          <w:sz w:val="20"/>
          <w:szCs w:val="20"/>
        </w:rPr>
        <w:t>Fractional billing of your grant, for instance 1/12</w:t>
      </w:r>
      <w:r w:rsidRPr="00516523">
        <w:rPr>
          <w:sz w:val="20"/>
          <w:szCs w:val="20"/>
          <w:vertAlign w:val="superscript"/>
        </w:rPr>
        <w:t>th</w:t>
      </w:r>
      <w:r w:rsidRPr="00516523">
        <w:rPr>
          <w:sz w:val="20"/>
          <w:szCs w:val="20"/>
        </w:rPr>
        <w:t xml:space="preserve"> of the total yearly budget, is allowable provided that your total costs for the period of reimbursement are equal to or exceed the amount of the fractional billing.</w:t>
      </w:r>
    </w:p>
    <w:p w:rsidR="00F824BE" w:rsidRPr="00516523" w:rsidRDefault="00F824BE" w:rsidP="00033C8B">
      <w:pPr>
        <w:ind w:left="720"/>
        <w:rPr>
          <w:sz w:val="20"/>
          <w:szCs w:val="20"/>
        </w:rPr>
      </w:pPr>
    </w:p>
    <w:p w:rsidR="00527BFD" w:rsidRPr="00516523" w:rsidRDefault="00527BFD" w:rsidP="00516523">
      <w:pPr>
        <w:tabs>
          <w:tab w:val="num" w:pos="720"/>
        </w:tabs>
        <w:ind w:left="720"/>
        <w:rPr>
          <w:sz w:val="20"/>
          <w:szCs w:val="20"/>
        </w:rPr>
      </w:pPr>
      <w:r w:rsidRPr="00516523">
        <w:rPr>
          <w:sz w:val="20"/>
          <w:szCs w:val="20"/>
        </w:rPr>
        <w:t xml:space="preserve">In order to promptly review, approve and process your billing request, it is important </w:t>
      </w:r>
      <w:r w:rsidR="00516523">
        <w:rPr>
          <w:sz w:val="20"/>
          <w:szCs w:val="20"/>
        </w:rPr>
        <w:t>DOH receives</w:t>
      </w:r>
      <w:r w:rsidRPr="00516523">
        <w:rPr>
          <w:sz w:val="20"/>
          <w:szCs w:val="20"/>
        </w:rPr>
        <w:t xml:space="preserve"> the current forms and documentation requested.</w:t>
      </w:r>
    </w:p>
    <w:p w:rsidR="00E30601" w:rsidRPr="00516523" w:rsidRDefault="00E30601" w:rsidP="00527BFD">
      <w:pPr>
        <w:tabs>
          <w:tab w:val="num" w:pos="720"/>
        </w:tabs>
        <w:ind w:left="720" w:hanging="360"/>
        <w:rPr>
          <w:sz w:val="20"/>
          <w:szCs w:val="20"/>
        </w:rPr>
      </w:pPr>
    </w:p>
    <w:p w:rsidR="000B70A0" w:rsidRPr="00516523" w:rsidRDefault="00172638" w:rsidP="00033C8B">
      <w:pPr>
        <w:numPr>
          <w:ilvl w:val="0"/>
          <w:numId w:val="1"/>
        </w:numPr>
        <w:tabs>
          <w:tab w:val="clear" w:pos="1080"/>
        </w:tabs>
        <w:ind w:left="720" w:hanging="360"/>
        <w:rPr>
          <w:sz w:val="20"/>
          <w:szCs w:val="20"/>
        </w:rPr>
      </w:pPr>
      <w:r w:rsidRPr="00516523">
        <w:rPr>
          <w:sz w:val="20"/>
          <w:szCs w:val="20"/>
        </w:rPr>
        <w:t xml:space="preserve">The LHJ will obtain </w:t>
      </w:r>
      <w:r w:rsidR="00EF2BD1" w:rsidRPr="00516523">
        <w:rPr>
          <w:sz w:val="20"/>
          <w:szCs w:val="20"/>
        </w:rPr>
        <w:t>approval by an authorized sign</w:t>
      </w:r>
      <w:r w:rsidR="0003419E">
        <w:rPr>
          <w:sz w:val="20"/>
          <w:szCs w:val="20"/>
        </w:rPr>
        <w:t>er</w:t>
      </w:r>
      <w:r w:rsidR="000B70A0" w:rsidRPr="00516523">
        <w:rPr>
          <w:sz w:val="20"/>
          <w:szCs w:val="20"/>
        </w:rPr>
        <w:t xml:space="preserve">.  The invoice and supporting expenditure information can either be sent electronically as </w:t>
      </w:r>
      <w:r w:rsidR="00754023" w:rsidRPr="00516523">
        <w:rPr>
          <w:sz w:val="20"/>
          <w:szCs w:val="20"/>
        </w:rPr>
        <w:t>PDF</w:t>
      </w:r>
      <w:r w:rsidR="000B70A0" w:rsidRPr="00516523">
        <w:rPr>
          <w:sz w:val="20"/>
          <w:szCs w:val="20"/>
        </w:rPr>
        <w:t xml:space="preserve"> attachments to e-mail (preferred), or original invoice with appropriate supporting information can be mailed to </w:t>
      </w:r>
      <w:r w:rsidR="00CE7DA9" w:rsidRPr="00516523">
        <w:rPr>
          <w:sz w:val="20"/>
          <w:szCs w:val="20"/>
        </w:rPr>
        <w:t xml:space="preserve">the address provided below.  If </w:t>
      </w:r>
      <w:r w:rsidR="00CA014F">
        <w:rPr>
          <w:sz w:val="20"/>
          <w:szCs w:val="20"/>
        </w:rPr>
        <w:t>you</w:t>
      </w:r>
      <w:r w:rsidR="00CE7DA9" w:rsidRPr="00516523">
        <w:rPr>
          <w:sz w:val="20"/>
          <w:szCs w:val="20"/>
        </w:rPr>
        <w:t xml:space="preserve"> choose to provide electronic copies of invoices, please retain the original signed invoice in your records.</w:t>
      </w:r>
    </w:p>
    <w:p w:rsidR="00F824BE" w:rsidRPr="00516523" w:rsidRDefault="00F824BE" w:rsidP="00033C8B">
      <w:pPr>
        <w:ind w:left="720"/>
        <w:rPr>
          <w:sz w:val="20"/>
          <w:szCs w:val="20"/>
        </w:rPr>
      </w:pPr>
    </w:p>
    <w:p w:rsidR="00754023" w:rsidRPr="00291D16" w:rsidRDefault="00754023" w:rsidP="00033C8B">
      <w:pPr>
        <w:tabs>
          <w:tab w:val="left" w:pos="720"/>
        </w:tabs>
        <w:ind w:left="720"/>
        <w:rPr>
          <w:b/>
          <w:sz w:val="20"/>
          <w:szCs w:val="20"/>
        </w:rPr>
      </w:pPr>
      <w:r w:rsidRPr="00291D16">
        <w:rPr>
          <w:b/>
          <w:sz w:val="20"/>
          <w:szCs w:val="20"/>
        </w:rPr>
        <w:t>E-mail Address:</w:t>
      </w:r>
    </w:p>
    <w:p w:rsidR="00754023" w:rsidRPr="00E200E6" w:rsidRDefault="00BC7694" w:rsidP="00033C8B">
      <w:pPr>
        <w:tabs>
          <w:tab w:val="left" w:pos="720"/>
        </w:tabs>
        <w:ind w:left="720"/>
        <w:rPr>
          <w:rFonts w:ascii="Calibri" w:hAnsi="Calibri"/>
          <w:color w:val="0000FF"/>
          <w:sz w:val="20"/>
          <w:szCs w:val="20"/>
        </w:rPr>
      </w:pPr>
      <w:hyperlink r:id="rId9" w:history="1">
        <w:r w:rsidR="00754023" w:rsidRPr="00E200E6">
          <w:rPr>
            <w:rStyle w:val="Hyperlink"/>
            <w:sz w:val="20"/>
            <w:szCs w:val="20"/>
          </w:rPr>
          <w:t>LHJinvoice@doh.wa.gov</w:t>
        </w:r>
      </w:hyperlink>
    </w:p>
    <w:p w:rsidR="00754023" w:rsidRPr="00516523" w:rsidRDefault="00754023" w:rsidP="00033C8B">
      <w:pPr>
        <w:tabs>
          <w:tab w:val="left" w:pos="720"/>
        </w:tabs>
        <w:ind w:left="720"/>
        <w:rPr>
          <w:sz w:val="20"/>
          <w:szCs w:val="20"/>
        </w:rPr>
      </w:pPr>
    </w:p>
    <w:p w:rsidR="00CE7DA9" w:rsidRPr="00291D16" w:rsidRDefault="00CE7DA9" w:rsidP="00033C8B">
      <w:pPr>
        <w:tabs>
          <w:tab w:val="left" w:pos="720"/>
        </w:tabs>
        <w:ind w:left="720"/>
        <w:rPr>
          <w:b/>
          <w:sz w:val="20"/>
          <w:szCs w:val="20"/>
        </w:rPr>
      </w:pPr>
      <w:r w:rsidRPr="00291D16">
        <w:rPr>
          <w:b/>
          <w:sz w:val="20"/>
          <w:szCs w:val="20"/>
        </w:rPr>
        <w:lastRenderedPageBreak/>
        <w:t>Mailing Address:</w:t>
      </w:r>
    </w:p>
    <w:p w:rsidR="00D769A8" w:rsidRPr="00516523" w:rsidRDefault="00CA2DDB" w:rsidP="00033C8B">
      <w:pPr>
        <w:tabs>
          <w:tab w:val="left" w:pos="720"/>
        </w:tabs>
        <w:ind w:left="720"/>
        <w:rPr>
          <w:sz w:val="20"/>
          <w:szCs w:val="20"/>
        </w:rPr>
      </w:pPr>
      <w:r w:rsidRPr="00516523">
        <w:rPr>
          <w:sz w:val="20"/>
          <w:szCs w:val="20"/>
        </w:rPr>
        <w:t xml:space="preserve">Washington State </w:t>
      </w:r>
      <w:r w:rsidR="00D769A8" w:rsidRPr="00516523">
        <w:rPr>
          <w:sz w:val="20"/>
          <w:szCs w:val="20"/>
        </w:rPr>
        <w:t>Department of Health</w:t>
      </w:r>
    </w:p>
    <w:p w:rsidR="00F53CB2" w:rsidRPr="00516523" w:rsidRDefault="008A00F0" w:rsidP="00033C8B">
      <w:pPr>
        <w:tabs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Financial Services/Accounting </w:t>
      </w:r>
      <w:r w:rsidR="00754023" w:rsidRPr="00516523">
        <w:rPr>
          <w:sz w:val="20"/>
          <w:szCs w:val="20"/>
        </w:rPr>
        <w:t>Unit</w:t>
      </w:r>
    </w:p>
    <w:p w:rsidR="00D769A8" w:rsidRPr="00516523" w:rsidRDefault="00D769A8" w:rsidP="00033C8B">
      <w:pPr>
        <w:tabs>
          <w:tab w:val="left" w:pos="720"/>
        </w:tabs>
        <w:ind w:left="720"/>
        <w:rPr>
          <w:sz w:val="20"/>
          <w:szCs w:val="20"/>
        </w:rPr>
      </w:pPr>
      <w:r w:rsidRPr="00516523">
        <w:rPr>
          <w:sz w:val="20"/>
          <w:szCs w:val="20"/>
        </w:rPr>
        <w:t>P.O. Box 47905</w:t>
      </w:r>
    </w:p>
    <w:p w:rsidR="00F53CB2" w:rsidRPr="00516523" w:rsidRDefault="00D769A8" w:rsidP="00033C8B">
      <w:pPr>
        <w:tabs>
          <w:tab w:val="left" w:pos="720"/>
        </w:tabs>
        <w:ind w:left="720"/>
        <w:rPr>
          <w:sz w:val="20"/>
          <w:szCs w:val="20"/>
        </w:rPr>
      </w:pPr>
      <w:r w:rsidRPr="00516523">
        <w:rPr>
          <w:sz w:val="20"/>
          <w:szCs w:val="20"/>
        </w:rPr>
        <w:t>Olympia, WA 98504-7905</w:t>
      </w:r>
    </w:p>
    <w:p w:rsidR="00CE7DA9" w:rsidRPr="00516523" w:rsidRDefault="00CE7DA9" w:rsidP="00033C8B">
      <w:pPr>
        <w:tabs>
          <w:tab w:val="left" w:pos="720"/>
        </w:tabs>
        <w:ind w:left="720"/>
        <w:rPr>
          <w:sz w:val="20"/>
          <w:szCs w:val="20"/>
        </w:rPr>
      </w:pPr>
    </w:p>
    <w:p w:rsidR="006A2016" w:rsidRPr="00516523" w:rsidRDefault="00D708DC" w:rsidP="00D708DC">
      <w:pPr>
        <w:tabs>
          <w:tab w:val="left" w:pos="720"/>
        </w:tabs>
        <w:ind w:left="720"/>
        <w:rPr>
          <w:sz w:val="20"/>
          <w:szCs w:val="20"/>
        </w:rPr>
      </w:pPr>
      <w:r w:rsidRPr="00516523">
        <w:rPr>
          <w:sz w:val="20"/>
          <w:szCs w:val="20"/>
        </w:rPr>
        <w:t xml:space="preserve">For ConCon related billing questions, please contact </w:t>
      </w:r>
      <w:r w:rsidR="00460B86">
        <w:rPr>
          <w:sz w:val="20"/>
          <w:szCs w:val="20"/>
        </w:rPr>
        <w:t>Violet Byrns</w:t>
      </w:r>
      <w:r w:rsidRPr="00516523">
        <w:rPr>
          <w:sz w:val="20"/>
          <w:szCs w:val="20"/>
        </w:rPr>
        <w:t xml:space="preserve"> in the DOH </w:t>
      </w:r>
      <w:r w:rsidR="00460B86">
        <w:rPr>
          <w:sz w:val="20"/>
          <w:szCs w:val="20"/>
        </w:rPr>
        <w:t>Financial Services/Accounting</w:t>
      </w:r>
      <w:r w:rsidRPr="00516523">
        <w:rPr>
          <w:sz w:val="20"/>
          <w:szCs w:val="20"/>
        </w:rPr>
        <w:t xml:space="preserve"> Unit at (360)</w:t>
      </w:r>
      <w:r w:rsidR="00E200E6">
        <w:rPr>
          <w:sz w:val="20"/>
          <w:szCs w:val="20"/>
        </w:rPr>
        <w:t> </w:t>
      </w:r>
      <w:r w:rsidRPr="00516523">
        <w:rPr>
          <w:sz w:val="20"/>
          <w:szCs w:val="20"/>
        </w:rPr>
        <w:t xml:space="preserve">236-3950 or </w:t>
      </w:r>
      <w:r>
        <w:rPr>
          <w:sz w:val="20"/>
          <w:szCs w:val="20"/>
        </w:rPr>
        <w:t xml:space="preserve">email </w:t>
      </w:r>
      <w:r w:rsidR="00F8035E">
        <w:rPr>
          <w:rStyle w:val="Hyperlink"/>
          <w:sz w:val="20"/>
          <w:szCs w:val="20"/>
        </w:rPr>
        <w:t>violet.byrns@doh.wa.gov</w:t>
      </w:r>
      <w:r>
        <w:rPr>
          <w:sz w:val="20"/>
          <w:szCs w:val="20"/>
        </w:rPr>
        <w:t>.</w:t>
      </w:r>
    </w:p>
    <w:sectPr w:rsidR="006A2016" w:rsidRPr="00516523" w:rsidSect="00AD6410"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06" w:rsidRDefault="00996B06">
      <w:r>
        <w:separator/>
      </w:r>
    </w:p>
  </w:endnote>
  <w:endnote w:type="continuationSeparator" w:id="0">
    <w:p w:rsidR="00996B06" w:rsidRDefault="0099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06" w:rsidRDefault="00996B06">
      <w:r>
        <w:separator/>
      </w:r>
    </w:p>
  </w:footnote>
  <w:footnote w:type="continuationSeparator" w:id="0">
    <w:p w:rsidR="00996B06" w:rsidRDefault="0099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77E6A"/>
    <w:multiLevelType w:val="hybridMultilevel"/>
    <w:tmpl w:val="06A08520"/>
    <w:lvl w:ilvl="0" w:tplc="82DCD4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7417C"/>
    <w:multiLevelType w:val="hybridMultilevel"/>
    <w:tmpl w:val="195AD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667A12DF"/>
    <w:multiLevelType w:val="hybridMultilevel"/>
    <w:tmpl w:val="1CD217DC"/>
    <w:lvl w:ilvl="0" w:tplc="DCD43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A"/>
    <w:rsid w:val="000026D3"/>
    <w:rsid w:val="000227CF"/>
    <w:rsid w:val="00033C8B"/>
    <w:rsid w:val="0003419E"/>
    <w:rsid w:val="00034478"/>
    <w:rsid w:val="00046DD3"/>
    <w:rsid w:val="000809FF"/>
    <w:rsid w:val="000812FC"/>
    <w:rsid w:val="00082F66"/>
    <w:rsid w:val="000A1831"/>
    <w:rsid w:val="000B70A0"/>
    <w:rsid w:val="000C3719"/>
    <w:rsid w:val="0011143A"/>
    <w:rsid w:val="00113C5E"/>
    <w:rsid w:val="00127735"/>
    <w:rsid w:val="0016769A"/>
    <w:rsid w:val="00172638"/>
    <w:rsid w:val="001930D8"/>
    <w:rsid w:val="0019389C"/>
    <w:rsid w:val="001D2F76"/>
    <w:rsid w:val="00204396"/>
    <w:rsid w:val="00291D16"/>
    <w:rsid w:val="002D00C2"/>
    <w:rsid w:val="002D2019"/>
    <w:rsid w:val="002D69B7"/>
    <w:rsid w:val="003007F3"/>
    <w:rsid w:val="0030747C"/>
    <w:rsid w:val="0032134D"/>
    <w:rsid w:val="00331E2F"/>
    <w:rsid w:val="00361489"/>
    <w:rsid w:val="003C23EF"/>
    <w:rsid w:val="003C7102"/>
    <w:rsid w:val="00400A5B"/>
    <w:rsid w:val="00417247"/>
    <w:rsid w:val="00422EC2"/>
    <w:rsid w:val="00440E6B"/>
    <w:rsid w:val="0045121F"/>
    <w:rsid w:val="0045713A"/>
    <w:rsid w:val="00460B86"/>
    <w:rsid w:val="004636EC"/>
    <w:rsid w:val="004B5E45"/>
    <w:rsid w:val="004F5C43"/>
    <w:rsid w:val="00516523"/>
    <w:rsid w:val="00527BFD"/>
    <w:rsid w:val="0054453B"/>
    <w:rsid w:val="00552EEB"/>
    <w:rsid w:val="00570A60"/>
    <w:rsid w:val="005A5764"/>
    <w:rsid w:val="005C5B65"/>
    <w:rsid w:val="00600D6B"/>
    <w:rsid w:val="006025B1"/>
    <w:rsid w:val="006478A4"/>
    <w:rsid w:val="00655866"/>
    <w:rsid w:val="006A2016"/>
    <w:rsid w:val="006D4A6F"/>
    <w:rsid w:val="006E0B37"/>
    <w:rsid w:val="006E2384"/>
    <w:rsid w:val="0071491B"/>
    <w:rsid w:val="00725C8A"/>
    <w:rsid w:val="00744876"/>
    <w:rsid w:val="0075112C"/>
    <w:rsid w:val="00754023"/>
    <w:rsid w:val="007759EB"/>
    <w:rsid w:val="00784AE9"/>
    <w:rsid w:val="007974B1"/>
    <w:rsid w:val="007C3730"/>
    <w:rsid w:val="007C7AEA"/>
    <w:rsid w:val="00803272"/>
    <w:rsid w:val="00810B3B"/>
    <w:rsid w:val="00820454"/>
    <w:rsid w:val="00825E1E"/>
    <w:rsid w:val="00830F7F"/>
    <w:rsid w:val="008405BD"/>
    <w:rsid w:val="0085091A"/>
    <w:rsid w:val="00876C31"/>
    <w:rsid w:val="008823B0"/>
    <w:rsid w:val="008A00F0"/>
    <w:rsid w:val="008A2CF7"/>
    <w:rsid w:val="008E7772"/>
    <w:rsid w:val="0092232D"/>
    <w:rsid w:val="0093241C"/>
    <w:rsid w:val="0099349F"/>
    <w:rsid w:val="00996B06"/>
    <w:rsid w:val="00A12A61"/>
    <w:rsid w:val="00AB63FC"/>
    <w:rsid w:val="00AB73E3"/>
    <w:rsid w:val="00AD6410"/>
    <w:rsid w:val="00B165DE"/>
    <w:rsid w:val="00B179DE"/>
    <w:rsid w:val="00B227DE"/>
    <w:rsid w:val="00B24DD0"/>
    <w:rsid w:val="00B46F3E"/>
    <w:rsid w:val="00B967F1"/>
    <w:rsid w:val="00BB7AF2"/>
    <w:rsid w:val="00BC065D"/>
    <w:rsid w:val="00BC3123"/>
    <w:rsid w:val="00BC7694"/>
    <w:rsid w:val="00C145AA"/>
    <w:rsid w:val="00C2531E"/>
    <w:rsid w:val="00C46745"/>
    <w:rsid w:val="00C95CCC"/>
    <w:rsid w:val="00C95D84"/>
    <w:rsid w:val="00CA014F"/>
    <w:rsid w:val="00CA2DDB"/>
    <w:rsid w:val="00CA7CB7"/>
    <w:rsid w:val="00CC1AFD"/>
    <w:rsid w:val="00CD6C7A"/>
    <w:rsid w:val="00CE0662"/>
    <w:rsid w:val="00CE4181"/>
    <w:rsid w:val="00CE7DA9"/>
    <w:rsid w:val="00D1066D"/>
    <w:rsid w:val="00D320F7"/>
    <w:rsid w:val="00D401FD"/>
    <w:rsid w:val="00D42F4C"/>
    <w:rsid w:val="00D708DC"/>
    <w:rsid w:val="00D769A8"/>
    <w:rsid w:val="00D9039F"/>
    <w:rsid w:val="00DA2AB9"/>
    <w:rsid w:val="00DA6EC9"/>
    <w:rsid w:val="00DF5072"/>
    <w:rsid w:val="00DF5CC7"/>
    <w:rsid w:val="00E141CF"/>
    <w:rsid w:val="00E15B87"/>
    <w:rsid w:val="00E200E6"/>
    <w:rsid w:val="00E30601"/>
    <w:rsid w:val="00E40FB4"/>
    <w:rsid w:val="00E46A22"/>
    <w:rsid w:val="00E52C61"/>
    <w:rsid w:val="00E55DA4"/>
    <w:rsid w:val="00E66E80"/>
    <w:rsid w:val="00E76868"/>
    <w:rsid w:val="00E95B48"/>
    <w:rsid w:val="00ED564D"/>
    <w:rsid w:val="00EE2117"/>
    <w:rsid w:val="00EE7A9C"/>
    <w:rsid w:val="00EF2BD1"/>
    <w:rsid w:val="00F04C32"/>
    <w:rsid w:val="00F078C4"/>
    <w:rsid w:val="00F507D3"/>
    <w:rsid w:val="00F53CB2"/>
    <w:rsid w:val="00F8035E"/>
    <w:rsid w:val="00F824BE"/>
    <w:rsid w:val="00FA0AFA"/>
    <w:rsid w:val="00FB1CDE"/>
    <w:rsid w:val="00FC3192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25B8-AFB1-4017-8702-64A55D20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0AFA"/>
    <w:rPr>
      <w:color w:val="0000FF"/>
      <w:u w:val="single"/>
    </w:rPr>
  </w:style>
  <w:style w:type="paragraph" w:styleId="Header">
    <w:name w:val="header"/>
    <w:basedOn w:val="Normal"/>
    <w:rsid w:val="00204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39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B63FC"/>
    <w:rPr>
      <w:color w:val="800080"/>
      <w:u w:val="single"/>
    </w:rPr>
  </w:style>
  <w:style w:type="paragraph" w:styleId="BalloonText">
    <w:name w:val="Balloon Text"/>
    <w:basedOn w:val="Normal"/>
    <w:semiHidden/>
    <w:rsid w:val="003614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PublicHealthandHealthcareProviders/PublicHealthSystemResourcesandServices/Funding/ConsolidatedContracts/LocalHealthJurisdiction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HJinvoice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4D3C-81B7-4186-AA69-D9A9B7E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2960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2012-2014 Consolidated Contract Billing Instructions</vt:lpstr>
    </vt:vector>
  </TitlesOfParts>
  <Company>Washington State Department of Health</Company>
  <LinksUpToDate>false</LinksUpToDate>
  <CharactersWithSpaces>3404</CharactersWithSpaces>
  <SharedDoc>false</SharedDoc>
  <HLinks>
    <vt:vector size="18" baseType="variant"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mailto:donna.terhune@doh.wa.gov</vt:lpwstr>
      </vt:variant>
      <vt:variant>
        <vt:lpwstr/>
      </vt:variant>
      <vt:variant>
        <vt:i4>7798795</vt:i4>
      </vt:variant>
      <vt:variant>
        <vt:i4>3</vt:i4>
      </vt:variant>
      <vt:variant>
        <vt:i4>0</vt:i4>
      </vt:variant>
      <vt:variant>
        <vt:i4>5</vt:i4>
      </vt:variant>
      <vt:variant>
        <vt:lpwstr>mailto:LHJinvoice@doh.wa.gov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http://www.doh.wa.gov/PublicHealthandHealthcareProviders/PublicHealthSystemResourcesandServices/Funding/ConsolidatedContracts/LocalHealthJurisdictions.aspx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2012-2014 Consolidated Contract Billing Instructions</dc:title>
  <dc:subject>2012-2014 Consolidated Contract Billing Instructions</dc:subject>
  <dc:creator>Washington St Dept of Health</dc:creator>
  <cp:keywords>2012-2014 Consolidated Contract Billing Instructions</cp:keywords>
  <cp:lastModifiedBy>Cook, Allison R (DOH)</cp:lastModifiedBy>
  <cp:revision>2</cp:revision>
  <cp:lastPrinted>2012-09-17T18:48:00Z</cp:lastPrinted>
  <dcterms:created xsi:type="dcterms:W3CDTF">2019-10-03T22:32:00Z</dcterms:created>
  <dcterms:modified xsi:type="dcterms:W3CDTF">2019-10-03T22:32:00Z</dcterms:modified>
  <cp:category>Billing Instructions</cp:category>
</cp:coreProperties>
</file>