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3" w:rsidRPr="00A602FF" w:rsidRDefault="00A55FE3" w:rsidP="00A55FE3">
      <w:pPr>
        <w:pStyle w:val="Headline"/>
        <w:spacing w:line="240" w:lineRule="auto"/>
        <w:jc w:val="left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A602FF">
        <w:rPr>
          <w:rFonts w:ascii="Segoe UI" w:hAnsi="Segoe UI" w:cs="Segoe UI"/>
          <w:sz w:val="32"/>
          <w:szCs w:val="32"/>
          <w:lang w:val="es"/>
        </w:rPr>
        <w:t>Folleto</w:t>
      </w:r>
    </w:p>
    <w:p w:rsidR="00161052" w:rsidRPr="00A602FF" w:rsidRDefault="00161052" w:rsidP="00A55FE3">
      <w:pPr>
        <w:pStyle w:val="Headline"/>
        <w:spacing w:line="240" w:lineRule="auto"/>
        <w:jc w:val="left"/>
        <w:rPr>
          <w:rFonts w:ascii="Segoe UI" w:hAnsi="Segoe UI" w:cs="Segoe UI"/>
          <w:sz w:val="32"/>
          <w:szCs w:val="32"/>
        </w:rPr>
      </w:pPr>
      <w:r w:rsidRPr="00A602FF">
        <w:rPr>
          <w:rFonts w:ascii="Segoe UI" w:hAnsi="Segoe UI" w:cs="Segoe UI"/>
          <w:sz w:val="32"/>
          <w:szCs w:val="32"/>
          <w:lang w:val="es"/>
        </w:rPr>
        <w:t xml:space="preserve">Muestreo de plomo y cobre </w:t>
      </w:r>
    </w:p>
    <w:p w:rsidR="00A55FE3" w:rsidRPr="00A602FF" w:rsidRDefault="00A55FE3" w:rsidP="00A55FE3">
      <w:pPr>
        <w:pStyle w:val="BodyTe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>DOH 331-227</w:t>
      </w:r>
    </w:p>
    <w:p w:rsidR="00A55FE3" w:rsidRPr="00A602FF" w:rsidRDefault="00042C53" w:rsidP="00A55FE3">
      <w:pPr>
        <w:pStyle w:val="BodyText"/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"/>
        </w:rPr>
        <w:t>December</w:t>
      </w:r>
      <w:proofErr w:type="spellEnd"/>
      <w:r w:rsidR="00A55FE3" w:rsidRPr="00A602FF">
        <w:rPr>
          <w:rFonts w:ascii="Times New Roman" w:hAnsi="Times New Roman" w:cs="Times New Roman"/>
          <w:sz w:val="22"/>
          <w:szCs w:val="22"/>
          <w:lang w:val="es"/>
        </w:rPr>
        <w:t xml:space="preserve"> 2009</w:t>
      </w:r>
      <w:r>
        <w:rPr>
          <w:rFonts w:ascii="Times New Roman" w:hAnsi="Times New Roman" w:cs="Times New Roman"/>
          <w:sz w:val="22"/>
          <w:szCs w:val="22"/>
          <w:lang w:val="e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  <w:lang w:val="es"/>
        </w:rPr>
        <w:t>Spanish</w:t>
      </w:r>
      <w:proofErr w:type="spellEnd"/>
      <w:r>
        <w:rPr>
          <w:rFonts w:ascii="Times New Roman" w:hAnsi="Times New Roman" w:cs="Times New Roman"/>
          <w:sz w:val="22"/>
          <w:szCs w:val="22"/>
          <w:lang w:val="es"/>
        </w:rPr>
        <w:t xml:space="preserve"> -</w:t>
      </w:r>
      <w:r w:rsidR="00A55FE3" w:rsidRPr="00A602FF">
        <w:rPr>
          <w:rFonts w:ascii="Times New Roman" w:hAnsi="Times New Roman" w:cs="Times New Roman"/>
          <w:sz w:val="22"/>
          <w:szCs w:val="22"/>
          <w:lang w:val="es"/>
        </w:rPr>
        <w:t xml:space="preserve"> Revisado</w:t>
      </w:r>
    </w:p>
    <w:p w:rsidR="00A55FE3" w:rsidRPr="00A602FF" w:rsidRDefault="00A55FE3" w:rsidP="00A55FE3">
      <w:pPr>
        <w:pStyle w:val="BodyTe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61052" w:rsidRPr="00A602FF" w:rsidRDefault="00161052" w:rsidP="00161052">
      <w:pPr>
        <w:pStyle w:val="BodyText"/>
        <w:keepNext w:val="0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Las reglamentaciones estatales exigen que se controlen todos los sistemas de agua comunitarios </w:t>
      </w:r>
      <w:r w:rsidR="002B7DC3">
        <w:rPr>
          <w:rFonts w:ascii="Times New Roman" w:hAnsi="Times New Roman" w:cs="Times New Roman"/>
          <w:sz w:val="22"/>
          <w:szCs w:val="22"/>
          <w:lang w:val="es"/>
        </w:rPr>
        <w:t xml:space="preserve">al igual que </w:t>
      </w: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no comunitarios </w:t>
      </w:r>
      <w:r w:rsidR="002B7DC3">
        <w:rPr>
          <w:rFonts w:ascii="Times New Roman" w:hAnsi="Times New Roman" w:cs="Times New Roman"/>
          <w:sz w:val="22"/>
          <w:szCs w:val="22"/>
          <w:lang w:val="es"/>
        </w:rPr>
        <w:t xml:space="preserve">y </w:t>
      </w: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no transitorios para determinar los niveles de plomo y cobre en el agua potable. </w:t>
      </w:r>
    </w:p>
    <w:p w:rsidR="00161052" w:rsidRPr="00A602FF" w:rsidRDefault="00161052" w:rsidP="00161052">
      <w:pPr>
        <w:pStyle w:val="BodyText"/>
        <w:keepNext w:val="0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A diferencia del control de otros contaminantes, las muestras para las pruebas de plomo y cobre deben provenir de los grifos de agua fría utilizados regularmente dentro de las casas de los clientes. </w:t>
      </w:r>
    </w:p>
    <w:p w:rsidR="00161052" w:rsidRPr="00A602FF" w:rsidRDefault="00161052" w:rsidP="00161052">
      <w:pPr>
        <w:pStyle w:val="BodyText"/>
        <w:keepNext w:val="0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>Los pasos y procedimientos para tomar las muestras de plomo y cobre para las pruebas varían en los distintos laboratorios. Antes de comenzar, consulte a su laboratorio. Asegúrese de seguir las instrucciones que le brinde el laboratorio.</w:t>
      </w:r>
    </w:p>
    <w:p w:rsidR="003A5712" w:rsidRPr="00A602FF" w:rsidRDefault="00161052" w:rsidP="00161052">
      <w:pPr>
        <w:rPr>
          <w:rFonts w:ascii="Times New Roman" w:hAnsi="Times New Roman" w:cs="Times New Roman"/>
        </w:rPr>
      </w:pPr>
      <w:r w:rsidRPr="00A602FF">
        <w:rPr>
          <w:rFonts w:ascii="Times New Roman" w:hAnsi="Times New Roman" w:cs="Times New Roman"/>
          <w:lang w:val="es"/>
        </w:rPr>
        <w:t>Para obtener ayuda, llame a la oficina regional más cercana del Department of Health (Departamento de Salud) de la lista que aparece al final de este folleto.</w:t>
      </w:r>
    </w:p>
    <w:p w:rsidR="00161052" w:rsidRPr="00A602FF" w:rsidRDefault="00161052" w:rsidP="002648AB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180" w:line="288" w:lineRule="auto"/>
        <w:ind w:left="360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 xml:space="preserve">Seleccione los sitios de muestreo. </w:t>
      </w:r>
    </w:p>
    <w:p w:rsidR="00161052" w:rsidRPr="00A602FF" w:rsidRDefault="00161052" w:rsidP="00161052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  <w:spacing w:val="2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Existen pautas específicas para la selección de las casas o los lugares donde se toman las muestras, la cantidad de muestras que se requieren, y el establecimiento de un programa de control. Para obtener más información, consulte la publicación </w:t>
      </w:r>
      <w:r w:rsidRPr="0032280E">
        <w:rPr>
          <w:rFonts w:ascii="Times New Roman" w:hAnsi="Times New Roman" w:cs="Times New Roman"/>
          <w:color w:val="2E74B5" w:themeColor="accent1" w:themeShade="BF"/>
          <w:u w:val="single"/>
          <w:lang w:val="es"/>
        </w:rPr>
        <w:t xml:space="preserve">Control de plomo y </w:t>
      </w:r>
      <w:commentRangeStart w:id="1"/>
      <w:r w:rsidRPr="0032280E">
        <w:rPr>
          <w:rFonts w:ascii="Times New Roman" w:hAnsi="Times New Roman" w:cs="Times New Roman"/>
          <w:color w:val="2E74B5" w:themeColor="accent1" w:themeShade="BF"/>
          <w:u w:val="single"/>
          <w:lang w:val="es"/>
        </w:rPr>
        <w:t>cobre</w:t>
      </w:r>
      <w:commentRangeEnd w:id="1"/>
      <w:r w:rsidR="00FF76DF">
        <w:rPr>
          <w:rStyle w:val="CommentReference"/>
        </w:rPr>
        <w:commentReference w:id="1"/>
      </w:r>
      <w:r w:rsidR="00FF76DF" w:rsidRPr="0032280E">
        <w:rPr>
          <w:rFonts w:ascii="Times New Roman" w:hAnsi="Times New Roman" w:cs="Times New Roman"/>
          <w:color w:val="2E74B5" w:themeColor="accent1" w:themeShade="BF"/>
          <w:u w:val="single"/>
          <w:lang w:val="es"/>
        </w:rPr>
        <w:t xml:space="preserve"> </w:t>
      </w:r>
      <w:r w:rsidRPr="00A602FF">
        <w:rPr>
          <w:rFonts w:ascii="Times New Roman" w:hAnsi="Times New Roman" w:cs="Times New Roman"/>
          <w:color w:val="000000"/>
          <w:lang w:val="es"/>
        </w:rPr>
        <w:t xml:space="preserve"> (DOH 331-111). </w:t>
      </w:r>
    </w:p>
    <w:p w:rsidR="00161052" w:rsidRPr="00A602FF" w:rsidRDefault="00161052" w:rsidP="00161052">
      <w:p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Puede hacer lo siguiente:</w:t>
      </w:r>
    </w:p>
    <w:p w:rsidR="00161052" w:rsidRPr="00A602FF" w:rsidRDefault="00161052" w:rsidP="00161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Indicarles a los residentes que tomen las muestras. Asegúrese de proporcionarles indicaciones y kits de muestreo.  </w:t>
      </w:r>
    </w:p>
    <w:p w:rsidR="00161052" w:rsidRPr="00A602FF" w:rsidRDefault="00161052" w:rsidP="00161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Tomar las muestras usted mismo. Solicíteles a los residentes que permitan que el personal del sistema ingrese en sus casas para tomar las muestras.</w:t>
      </w:r>
    </w:p>
    <w:p w:rsidR="00161052" w:rsidRPr="00A602FF" w:rsidRDefault="002648AB" w:rsidP="00161052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>2. Infórmeles a los propietarios lo que pueden esperar.</w:t>
      </w:r>
    </w:p>
    <w:p w:rsidR="00314CE6" w:rsidRPr="00042C53" w:rsidRDefault="00314CE6" w:rsidP="00314C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La muestra debe provenir de un grifo de agua fría de la cocina o el baño que se utilice regularmente. </w:t>
      </w:r>
    </w:p>
    <w:p w:rsidR="00161052" w:rsidRPr="00042C53" w:rsidRDefault="00314CE6" w:rsidP="001610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El objetivo es obtener el “primer chorro” del agua que ha estado estancada en las tuberías durante, al menos, 6 horas, pero no más de 12 horas antes del muestreo. </w:t>
      </w:r>
    </w:p>
    <w:p w:rsidR="00161052" w:rsidRPr="00042C53" w:rsidRDefault="00161052" w:rsidP="001610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Para garantizar la existencia de condiciones de agua estancada, los mejores horarios de muestreo son a primera hora de la mañana o después de que los residentes vuelven a su casa del trabajo o la escuela. </w:t>
      </w:r>
    </w:p>
    <w:p w:rsidR="00161052" w:rsidRPr="00042C53" w:rsidRDefault="00161052" w:rsidP="001610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Asegúrese de que el agua no pase por una manguera o alguna clase de filtro antes de llegar al recipiente de muestras.</w:t>
      </w:r>
    </w:p>
    <w:p w:rsidR="00210AF4" w:rsidRPr="00A602FF" w:rsidRDefault="00210AF4" w:rsidP="001610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No retire el aireador del grifo antes del tiempo de estancamiento ni antes de tomar la muestra.</w:t>
      </w:r>
    </w:p>
    <w:p w:rsidR="00161052" w:rsidRPr="00A602FF" w:rsidRDefault="002648AB" w:rsidP="00161052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sz w:val="24"/>
          <w:szCs w:val="24"/>
          <w:lang w:val="es"/>
        </w:rPr>
        <w:lastRenderedPageBreak/>
        <w:t>3.</w:t>
      </w:r>
      <w:r w:rsidRPr="00A602FF">
        <w:rPr>
          <w:rStyle w:val="Numbers"/>
          <w:rFonts w:ascii="Arial" w:hAnsi="Arial" w:cs="Arial"/>
          <w:b/>
          <w:bCs/>
          <w:outline/>
          <w:color w:val="000000"/>
          <w:sz w:val="24"/>
          <w:szCs w:val="24"/>
          <w:lang w:val="es"/>
        </w:rPr>
        <w:t xml:space="preserve"> </w:t>
      </w: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 xml:space="preserve"> Tome las muestras.</w:t>
      </w:r>
    </w:p>
    <w:p w:rsidR="00314CE6" w:rsidRPr="00A602FF" w:rsidRDefault="00314CE6" w:rsidP="00161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No haga correr el agua inmediatamente antes de tomar la muestra. </w:t>
      </w:r>
    </w:p>
    <w:p w:rsidR="00161052" w:rsidRPr="00A602FF" w:rsidRDefault="00161052" w:rsidP="00161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Coloque la botella abierta debajo del grifo y abra suavemente el grifo de agua fría. </w:t>
      </w:r>
    </w:p>
    <w:p w:rsidR="00161052" w:rsidRPr="00042C53" w:rsidRDefault="00161052" w:rsidP="00161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Llene el recipiente de muestras hasta el hombro de la botella o hasta la línea marcada con “1,000 ml” y cierre el grifo.  </w:t>
      </w:r>
    </w:p>
    <w:p w:rsidR="00161052" w:rsidRPr="00A602FF" w:rsidRDefault="00161052" w:rsidP="00161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Cierre bien la botella.  </w:t>
      </w:r>
    </w:p>
    <w:p w:rsidR="00161052" w:rsidRPr="00A602FF" w:rsidRDefault="00161052" w:rsidP="001610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Etiquete la botella (consulte el paso 4) y colóquela en el kit de muestreo provisto.</w:t>
      </w:r>
    </w:p>
    <w:p w:rsidR="00161052" w:rsidRPr="00A602FF" w:rsidRDefault="00AD1699" w:rsidP="00161052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 xml:space="preserve">4. Complete el formulario del laboratorio y la etiqueta de la muestra. </w:t>
      </w:r>
    </w:p>
    <w:p w:rsidR="00161052" w:rsidRPr="00A602FF" w:rsidRDefault="00161052" w:rsidP="00161052">
      <w:p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Puede proporcionar las etiquetas completas a los propietarios, o bien, completarlas cuando toma las muestras.</w:t>
      </w:r>
    </w:p>
    <w:p w:rsidR="00161052" w:rsidRPr="00A602FF" w:rsidRDefault="00161052" w:rsidP="00161052">
      <w:p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Los formularios de los laboratorios varían; asegúrese de incluir los siguientes datos:</w:t>
      </w:r>
    </w:p>
    <w:p w:rsidR="00161052" w:rsidRPr="00042C53" w:rsidRDefault="00161052" w:rsidP="001610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Nombre y número de identificación del sistema de agua.</w:t>
      </w:r>
    </w:p>
    <w:p w:rsidR="00161052" w:rsidRPr="00042C53" w:rsidRDefault="00161052" w:rsidP="002648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Tipo de sistema (Grupo A o Grupo B).</w:t>
      </w:r>
    </w:p>
    <w:p w:rsidR="00161052" w:rsidRPr="00042C53" w:rsidRDefault="00161052" w:rsidP="001610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Fecha y hora en las que se tomó cada muestra.</w:t>
      </w:r>
    </w:p>
    <w:p w:rsidR="00161052" w:rsidRPr="00042C53" w:rsidRDefault="00161052" w:rsidP="001610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Lugar de muestreo de cada muestra (utilice la dirección u otro identificador de ubicación de la casa donde se tomó la muestra).</w:t>
      </w:r>
    </w:p>
    <w:p w:rsidR="00161052" w:rsidRPr="00A602FF" w:rsidRDefault="00161052" w:rsidP="001610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Número de fuente del DOH (Departamento de Salud); escriba “distribución” para indicar muestras de distribución.</w:t>
      </w:r>
    </w:p>
    <w:p w:rsidR="00161052" w:rsidRPr="00042C53" w:rsidRDefault="00161052" w:rsidP="001610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lang w:val="sv-SE"/>
        </w:rPr>
      </w:pPr>
      <w:r w:rsidRPr="00A602FF">
        <w:rPr>
          <w:rFonts w:ascii="Times New Roman" w:hAnsi="Times New Roman" w:cs="Times New Roman"/>
          <w:color w:val="000000"/>
          <w:lang w:val="es"/>
        </w:rPr>
        <w:t>Propósito de la muestra (generalmente, “RC” [cumplimiento de rutina]).</w:t>
      </w:r>
    </w:p>
    <w:p w:rsidR="00010106" w:rsidRPr="00A602FF" w:rsidRDefault="00010106" w:rsidP="00010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Tipo de muestra (posterior al tratamiento).</w:t>
      </w:r>
    </w:p>
    <w:p w:rsidR="00010106" w:rsidRPr="00A602FF" w:rsidRDefault="00010106" w:rsidP="00AD1699">
      <w:pPr>
        <w:pStyle w:val="ListParagraph"/>
        <w:autoSpaceDE w:val="0"/>
        <w:autoSpaceDN w:val="0"/>
        <w:adjustRightInd w:val="0"/>
        <w:spacing w:after="90" w:line="288" w:lineRule="auto"/>
        <w:textAlignment w:val="center"/>
        <w:rPr>
          <w:rFonts w:ascii="Segoe UI" w:hAnsi="Segoe UI" w:cs="Segoe UI"/>
          <w:color w:val="000000"/>
          <w:sz w:val="18"/>
          <w:szCs w:val="18"/>
        </w:rPr>
      </w:pPr>
    </w:p>
    <w:p w:rsidR="00161052" w:rsidRPr="00A602FF" w:rsidRDefault="00AD1699" w:rsidP="00161052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>5. Envíe las muestras.</w:t>
      </w:r>
    </w:p>
    <w:p w:rsidR="00161052" w:rsidRPr="00A602FF" w:rsidRDefault="00161052" w:rsidP="00161052">
      <w:p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  <w:spacing w:val="-2"/>
        </w:rPr>
      </w:pPr>
      <w:r w:rsidRPr="00A602FF">
        <w:rPr>
          <w:rFonts w:ascii="Times New Roman" w:hAnsi="Times New Roman" w:cs="Times New Roman"/>
          <w:color w:val="000000"/>
          <w:lang w:val="es"/>
        </w:rPr>
        <w:t>Cuando las muestras estén listas para enviarlas, empaquételas junto con el formulario de información de la muestra completo y envíelas al laboratorio.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02FF">
        <w:rPr>
          <w:rFonts w:ascii="Arial" w:hAnsi="Arial" w:cs="Arial"/>
          <w:b/>
          <w:bCs/>
          <w:color w:val="000000"/>
          <w:sz w:val="24"/>
          <w:szCs w:val="24"/>
          <w:lang w:val="es"/>
        </w:rPr>
        <w:t>Más información</w:t>
      </w:r>
    </w:p>
    <w:p w:rsidR="00AD1699" w:rsidRPr="00A602FF" w:rsidRDefault="00AD1699" w:rsidP="00AD1699">
      <w:pPr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Si tiene alguna pregunta acerca de los procedimientos de muestreo, llame a nuestra oficina regional:</w:t>
      </w:r>
    </w:p>
    <w:p w:rsidR="00AD1699" w:rsidRPr="00A602FF" w:rsidRDefault="00AD1699" w:rsidP="00AD1699">
      <w:pPr>
        <w:autoSpaceDE w:val="0"/>
        <w:autoSpaceDN w:val="0"/>
        <w:adjustRightInd w:val="0"/>
        <w:spacing w:after="90" w:line="288" w:lineRule="auto"/>
        <w:ind w:left="180" w:hanging="180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b/>
          <w:bCs/>
          <w:color w:val="000000"/>
          <w:lang w:val="es"/>
        </w:rPr>
        <w:t>Región este</w:t>
      </w:r>
      <w:r w:rsidRPr="00A602FF">
        <w:rPr>
          <w:rFonts w:ascii="Times New Roman" w:hAnsi="Times New Roman" w:cs="Times New Roman"/>
          <w:color w:val="000000"/>
          <w:lang w:val="es"/>
        </w:rPr>
        <w:br/>
        <w:t>Spokane Valley</w:t>
      </w:r>
      <w:r w:rsidRPr="00A602FF">
        <w:rPr>
          <w:rFonts w:ascii="Times New Roman" w:hAnsi="Times New Roman" w:cs="Times New Roman"/>
          <w:color w:val="000000"/>
          <w:lang w:val="es"/>
        </w:rPr>
        <w:br/>
        <w:t>509-329-2100</w:t>
      </w:r>
    </w:p>
    <w:p w:rsidR="00AD1699" w:rsidRPr="00A602FF" w:rsidRDefault="00AD1699" w:rsidP="00AD1699">
      <w:pPr>
        <w:autoSpaceDE w:val="0"/>
        <w:autoSpaceDN w:val="0"/>
        <w:adjustRightInd w:val="0"/>
        <w:spacing w:after="90" w:line="288" w:lineRule="auto"/>
        <w:ind w:left="180" w:hanging="180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b/>
          <w:bCs/>
          <w:color w:val="000000"/>
          <w:lang w:val="es"/>
        </w:rPr>
        <w:t>Región noroeste</w:t>
      </w:r>
      <w:r w:rsidRPr="00A602FF">
        <w:rPr>
          <w:rFonts w:ascii="Times New Roman" w:hAnsi="Times New Roman" w:cs="Times New Roman"/>
          <w:color w:val="000000"/>
          <w:lang w:val="es"/>
        </w:rPr>
        <w:br/>
        <w:t>Kent</w:t>
      </w:r>
      <w:r w:rsidRPr="00A602FF">
        <w:rPr>
          <w:rFonts w:ascii="Times New Roman" w:hAnsi="Times New Roman" w:cs="Times New Roman"/>
          <w:color w:val="000000"/>
          <w:lang w:val="es"/>
        </w:rPr>
        <w:br/>
        <w:t>253-395-6750</w:t>
      </w:r>
    </w:p>
    <w:p w:rsidR="00AD1699" w:rsidRPr="00A602FF" w:rsidRDefault="00AD1699" w:rsidP="00AD1699">
      <w:pPr>
        <w:autoSpaceDE w:val="0"/>
        <w:autoSpaceDN w:val="0"/>
        <w:adjustRightInd w:val="0"/>
        <w:spacing w:after="90" w:line="288" w:lineRule="auto"/>
        <w:ind w:left="180" w:hanging="180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b/>
          <w:bCs/>
          <w:color w:val="000000"/>
          <w:lang w:val="es"/>
        </w:rPr>
        <w:t>Región sudoeste</w:t>
      </w:r>
      <w:r w:rsidRPr="00A602FF">
        <w:rPr>
          <w:rFonts w:ascii="Times New Roman" w:hAnsi="Times New Roman" w:cs="Times New Roman"/>
          <w:color w:val="000000"/>
          <w:lang w:val="es"/>
        </w:rPr>
        <w:br/>
        <w:t>Tumwater</w:t>
      </w:r>
      <w:r w:rsidRPr="00A602FF">
        <w:rPr>
          <w:rFonts w:ascii="Times New Roman" w:hAnsi="Times New Roman" w:cs="Times New Roman"/>
          <w:color w:val="000000"/>
          <w:lang w:val="es"/>
        </w:rPr>
        <w:br/>
        <w:t>360-236-3030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bCs/>
          <w:color w:val="000000"/>
        </w:rPr>
      </w:pPr>
      <w:r w:rsidRPr="00A602FF">
        <w:rPr>
          <w:rFonts w:ascii="Arial" w:hAnsi="Arial" w:cs="Arial"/>
          <w:b/>
          <w:bCs/>
          <w:color w:val="000000"/>
          <w:lang w:val="es"/>
        </w:rPr>
        <w:t xml:space="preserve">Otras publicaciones sobre </w:t>
      </w:r>
      <w:commentRangeStart w:id="2"/>
      <w:r w:rsidRPr="00A602FF">
        <w:rPr>
          <w:rFonts w:ascii="Arial" w:hAnsi="Arial" w:cs="Arial"/>
          <w:b/>
          <w:bCs/>
          <w:color w:val="000000"/>
          <w:lang w:val="es"/>
        </w:rPr>
        <w:t>muestreos</w:t>
      </w:r>
      <w:commentRangeEnd w:id="2"/>
      <w:r w:rsidR="00FF76DF">
        <w:rPr>
          <w:rStyle w:val="CommentReference"/>
        </w:rPr>
        <w:commentReference w:id="2"/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  <w:spacing w:val="2"/>
        </w:rPr>
      </w:pPr>
      <w:r w:rsidRPr="00A602FF">
        <w:rPr>
          <w:rFonts w:ascii="Times New Roman" w:hAnsi="Times New Roman" w:cs="Times New Roman"/>
          <w:color w:val="000000"/>
          <w:lang w:val="es"/>
        </w:rPr>
        <w:lastRenderedPageBreak/>
        <w:t xml:space="preserve">Control de Plomo y Cobre (331-111) 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>Procedimientos de Muestreo de Nitratos) (331-222)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bCs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 Procedimiento de Muestreo de SOC Compuestos Químicos Orgánicos Sintéticos</w:t>
      </w:r>
      <w:proofErr w:type="gramStart"/>
      <w:r w:rsidR="00FF76DF">
        <w:rPr>
          <w:rFonts w:ascii="Times New Roman" w:hAnsi="Times New Roman" w:cs="Times New Roman"/>
          <w:color w:val="000000"/>
          <w:lang w:val="es"/>
        </w:rPr>
        <w:t>)</w:t>
      </w:r>
      <w:r w:rsidRPr="00A602FF">
        <w:rPr>
          <w:rFonts w:ascii="Times New Roman" w:hAnsi="Times New Roman" w:cs="Times New Roman"/>
          <w:color w:val="000000"/>
          <w:lang w:val="es"/>
        </w:rPr>
        <w:t>(</w:t>
      </w:r>
      <w:proofErr w:type="gramEnd"/>
      <w:r w:rsidRPr="00A602FF">
        <w:rPr>
          <w:rFonts w:ascii="Times New Roman" w:hAnsi="Times New Roman" w:cs="Times New Roman"/>
          <w:color w:val="000000"/>
          <w:lang w:val="es"/>
        </w:rPr>
        <w:t>331-224)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Procedimiento de Muestreo de IOC </w:t>
      </w:r>
      <w:r w:rsidR="00FF76DF">
        <w:rPr>
          <w:rFonts w:ascii="Times New Roman" w:hAnsi="Times New Roman" w:cs="Times New Roman"/>
          <w:color w:val="000000"/>
          <w:lang w:val="es"/>
        </w:rPr>
        <w:t>(</w:t>
      </w:r>
      <w:r w:rsidRPr="00A602FF">
        <w:rPr>
          <w:rFonts w:ascii="Times New Roman" w:hAnsi="Times New Roman" w:cs="Times New Roman"/>
          <w:color w:val="000000"/>
          <w:lang w:val="es"/>
        </w:rPr>
        <w:t>Compuestos Químicos Inorgánicos) (331-221)</w:t>
      </w:r>
    </w:p>
    <w:p w:rsidR="00AD1699" w:rsidRPr="00A602FF" w:rsidRDefault="00AD1699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 Procedimiento de Muestreo de VOC [Compuestos Químicos Orgánicos Volátiles) (331-220)</w:t>
      </w:r>
    </w:p>
    <w:p w:rsidR="00AD1699" w:rsidRPr="00A602FF" w:rsidRDefault="00FF76DF" w:rsidP="00AD1699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s"/>
        </w:rPr>
        <w:t>(</w:t>
      </w:r>
      <w:proofErr w:type="spellStart"/>
      <w:r w:rsidR="00AD1699" w:rsidRPr="00A602FF">
        <w:rPr>
          <w:rFonts w:ascii="Times New Roman" w:hAnsi="Times New Roman" w:cs="Times New Roman"/>
          <w:color w:val="000000"/>
          <w:lang w:val="es"/>
        </w:rPr>
        <w:t>Trihalometanos</w:t>
      </w:r>
      <w:proofErr w:type="spellEnd"/>
      <w:r w:rsidR="00AD1699" w:rsidRPr="00A602FF">
        <w:rPr>
          <w:rFonts w:ascii="Times New Roman" w:hAnsi="Times New Roman" w:cs="Times New Roman"/>
          <w:color w:val="000000"/>
          <w:lang w:val="es"/>
        </w:rPr>
        <w:t xml:space="preserve"> Totales) (331-226)</w:t>
      </w:r>
    </w:p>
    <w:p w:rsidR="00AD1699" w:rsidRPr="00A602FF" w:rsidRDefault="00AD1699" w:rsidP="00AD1699">
      <w:pPr>
        <w:rPr>
          <w:rFonts w:ascii="Times New Roman" w:hAnsi="Times New Roman" w:cs="Times New Roman"/>
          <w:color w:val="000000"/>
        </w:rPr>
      </w:pPr>
      <w:r w:rsidRPr="00A602FF">
        <w:rPr>
          <w:rFonts w:ascii="Times New Roman" w:hAnsi="Times New Roman" w:cs="Times New Roman"/>
          <w:color w:val="000000"/>
          <w:lang w:val="es"/>
        </w:rPr>
        <w:t xml:space="preserve">Procedimiento de Muestreo de HAA5 </w:t>
      </w:r>
      <w:r w:rsidR="00FF76DF">
        <w:rPr>
          <w:rFonts w:ascii="Times New Roman" w:hAnsi="Times New Roman" w:cs="Times New Roman"/>
          <w:color w:val="000000"/>
          <w:lang w:val="es"/>
        </w:rPr>
        <w:t>(</w:t>
      </w:r>
      <w:r w:rsidRPr="00A602FF">
        <w:rPr>
          <w:rFonts w:ascii="Times New Roman" w:hAnsi="Times New Roman" w:cs="Times New Roman"/>
          <w:color w:val="000000"/>
          <w:lang w:val="es"/>
        </w:rPr>
        <w:t xml:space="preserve">Ácidos </w:t>
      </w:r>
      <w:proofErr w:type="spellStart"/>
      <w:r w:rsidRPr="00A602FF">
        <w:rPr>
          <w:rFonts w:ascii="Times New Roman" w:hAnsi="Times New Roman" w:cs="Times New Roman"/>
          <w:color w:val="000000"/>
          <w:lang w:val="es"/>
        </w:rPr>
        <w:t>Haloacéticos</w:t>
      </w:r>
      <w:proofErr w:type="spellEnd"/>
      <w:r w:rsidRPr="00A602FF">
        <w:rPr>
          <w:rFonts w:ascii="Times New Roman" w:hAnsi="Times New Roman" w:cs="Times New Roman"/>
          <w:color w:val="000000"/>
          <w:lang w:val="es"/>
        </w:rPr>
        <w:t>) (331-223)</w:t>
      </w:r>
    </w:p>
    <w:p w:rsidR="002648AB" w:rsidRPr="00A602FF" w:rsidRDefault="002648AB" w:rsidP="002648AB">
      <w:pPr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2648AB" w:rsidRPr="00A602FF" w:rsidRDefault="002648AB" w:rsidP="002648AB">
      <w:pPr>
        <w:pStyle w:val="BodyText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Si necesita esta publicación en un formato alternativo, llame al 800-525-0127 (TDD/TTY 711). </w:t>
      </w:r>
    </w:p>
    <w:p w:rsidR="00EE6723" w:rsidRPr="00A602FF" w:rsidRDefault="002648AB" w:rsidP="002648AB">
      <w:pPr>
        <w:pStyle w:val="BodyText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A602FF">
        <w:rPr>
          <w:rFonts w:ascii="Times New Roman" w:hAnsi="Times New Roman" w:cs="Times New Roman"/>
          <w:sz w:val="22"/>
          <w:szCs w:val="22"/>
          <w:lang w:val="es"/>
        </w:rPr>
        <w:t xml:space="preserve">Esta y otras publicaciones están disponibles en el sitio web </w:t>
      </w:r>
      <w:hyperlink r:id="rId7" w:history="1">
        <w:r w:rsidRPr="00A602FF">
          <w:rPr>
            <w:rStyle w:val="Hyperlink"/>
            <w:rFonts w:ascii="Times New Roman" w:hAnsi="Times New Roman" w:cs="Times New Roman"/>
            <w:sz w:val="22"/>
            <w:szCs w:val="22"/>
            <w:lang w:val="es"/>
          </w:rPr>
          <w:t>www.doh.gov/eph/dw</w:t>
        </w:r>
      </w:hyperlink>
      <w:r w:rsidRPr="00A602FF">
        <w:rPr>
          <w:sz w:val="18"/>
          <w:szCs w:val="18"/>
          <w:lang w:val="es"/>
        </w:rPr>
        <w:t>.</w:t>
      </w:r>
    </w:p>
    <w:p w:rsidR="002648AB" w:rsidRPr="00A602FF" w:rsidRDefault="002648AB" w:rsidP="002648AB">
      <w:pPr>
        <w:pStyle w:val="BodyText"/>
        <w:spacing w:line="260" w:lineRule="exact"/>
        <w:rPr>
          <w:rFonts w:ascii="Times New Roman" w:hAnsi="Times New Roman" w:cs="Times New Roman"/>
          <w:sz w:val="18"/>
          <w:szCs w:val="18"/>
        </w:rPr>
      </w:pPr>
    </w:p>
    <w:p w:rsidR="002648AB" w:rsidRPr="00A602FF" w:rsidRDefault="002648AB" w:rsidP="00AD1699">
      <w:pPr>
        <w:rPr>
          <w:rFonts w:ascii="Segoe UI" w:hAnsi="Segoe UI" w:cs="Segoe UI"/>
          <w:color w:val="000000"/>
          <w:sz w:val="18"/>
          <w:szCs w:val="18"/>
        </w:rPr>
      </w:pPr>
    </w:p>
    <w:p w:rsidR="00AD1699" w:rsidRPr="00A602FF" w:rsidRDefault="00AD1699" w:rsidP="00161052">
      <w:pPr>
        <w:autoSpaceDE w:val="0"/>
        <w:autoSpaceDN w:val="0"/>
        <w:adjustRightInd w:val="0"/>
        <w:spacing w:after="180" w:line="288" w:lineRule="auto"/>
        <w:textAlignment w:val="center"/>
        <w:rPr>
          <w:rFonts w:ascii="Segoe UI" w:hAnsi="Segoe UI" w:cs="Segoe UI"/>
          <w:color w:val="000000"/>
          <w:spacing w:val="-2"/>
          <w:sz w:val="18"/>
          <w:szCs w:val="18"/>
        </w:rPr>
      </w:pPr>
    </w:p>
    <w:p w:rsidR="00161052" w:rsidRPr="00A602FF" w:rsidRDefault="00161052" w:rsidP="00161052">
      <w:pPr>
        <w:rPr>
          <w:rFonts w:ascii="Segoe UI" w:hAnsi="Segoe UI" w:cs="Segoe UI"/>
          <w:sz w:val="20"/>
          <w:szCs w:val="20"/>
        </w:rPr>
      </w:pPr>
    </w:p>
    <w:sectPr w:rsidR="00161052" w:rsidRPr="00A60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bra, Cristina A (DOH)" w:date="2016-05-13T16:10:00Z" w:initials="CL">
    <w:p w:rsidR="00FF76DF" w:rsidRDefault="00FF76DF">
      <w:pPr>
        <w:pStyle w:val="CommentText"/>
      </w:pPr>
      <w:r>
        <w:rPr>
          <w:rStyle w:val="CommentReference"/>
        </w:rPr>
        <w:annotationRef/>
      </w:r>
      <w:r>
        <w:t xml:space="preserve">If just in English add “(Solo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)”</w:t>
      </w:r>
    </w:p>
  </w:comment>
  <w:comment w:id="2" w:author="Labra, Cristina A (DOH)" w:date="2016-05-13T16:19:00Z" w:initials="CL">
    <w:p w:rsidR="00FF76DF" w:rsidRDefault="00FF76DF">
      <w:pPr>
        <w:pStyle w:val="CommentText"/>
      </w:pPr>
      <w:r>
        <w:rPr>
          <w:rStyle w:val="CommentReference"/>
        </w:rPr>
        <w:annotationRef/>
      </w:r>
      <w:r>
        <w:t xml:space="preserve">If the publication is only in English, add at “(Solo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645"/>
    <w:multiLevelType w:val="hybridMultilevel"/>
    <w:tmpl w:val="1CF4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44A"/>
    <w:multiLevelType w:val="hybridMultilevel"/>
    <w:tmpl w:val="2794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458C"/>
    <w:multiLevelType w:val="hybridMultilevel"/>
    <w:tmpl w:val="7FB8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61390"/>
    <w:multiLevelType w:val="hybridMultilevel"/>
    <w:tmpl w:val="6614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85D74"/>
    <w:multiLevelType w:val="hybridMultilevel"/>
    <w:tmpl w:val="C74C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77630"/>
    <w:multiLevelType w:val="hybridMultilevel"/>
    <w:tmpl w:val="EED0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52"/>
    <w:rsid w:val="00010106"/>
    <w:rsid w:val="00042C53"/>
    <w:rsid w:val="00107B1F"/>
    <w:rsid w:val="00161052"/>
    <w:rsid w:val="00210AF4"/>
    <w:rsid w:val="002648AB"/>
    <w:rsid w:val="002B7DC3"/>
    <w:rsid w:val="00314CE6"/>
    <w:rsid w:val="0032280E"/>
    <w:rsid w:val="003348D8"/>
    <w:rsid w:val="00351E26"/>
    <w:rsid w:val="003A5712"/>
    <w:rsid w:val="003F153C"/>
    <w:rsid w:val="006D7B11"/>
    <w:rsid w:val="006E4C0D"/>
    <w:rsid w:val="006E5CB1"/>
    <w:rsid w:val="00910325"/>
    <w:rsid w:val="00927769"/>
    <w:rsid w:val="00A55FE3"/>
    <w:rsid w:val="00A602FF"/>
    <w:rsid w:val="00AD1699"/>
    <w:rsid w:val="00AF4F6D"/>
    <w:rsid w:val="00BF7CCE"/>
    <w:rsid w:val="00CD2FD0"/>
    <w:rsid w:val="00CE4A7A"/>
    <w:rsid w:val="00CF39CF"/>
    <w:rsid w:val="00DB4D04"/>
    <w:rsid w:val="00EE6723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next w:val="BodyText"/>
    <w:uiPriority w:val="99"/>
    <w:rsid w:val="00161052"/>
    <w:pPr>
      <w:suppressAutoHyphens/>
      <w:autoSpaceDE w:val="0"/>
      <w:autoSpaceDN w:val="0"/>
      <w:adjustRightInd w:val="0"/>
      <w:spacing w:after="180" w:line="288" w:lineRule="auto"/>
      <w:jc w:val="right"/>
      <w:textAlignment w:val="center"/>
    </w:pPr>
    <w:rPr>
      <w:rFonts w:ascii="Myriad Pro" w:hAnsi="Myriad Pro" w:cs="Myriad Pro"/>
      <w:b/>
      <w:bCs/>
      <w:color w:val="00000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161052"/>
    <w:pPr>
      <w:keepNext/>
      <w:autoSpaceDE w:val="0"/>
      <w:autoSpaceDN w:val="0"/>
      <w:adjustRightInd w:val="0"/>
      <w:spacing w:after="180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1052"/>
    <w:rPr>
      <w:rFonts w:ascii="Myriad Pro" w:hAnsi="Myriad Pro" w:cs="Myriad Pro"/>
      <w:color w:val="000000"/>
      <w:sz w:val="20"/>
      <w:szCs w:val="20"/>
    </w:rPr>
  </w:style>
  <w:style w:type="paragraph" w:customStyle="1" w:styleId="BulletList">
    <w:name w:val="Bullet List"/>
    <w:basedOn w:val="BodyText"/>
    <w:uiPriority w:val="99"/>
    <w:rsid w:val="00161052"/>
    <w:pPr>
      <w:spacing w:after="90"/>
      <w:ind w:left="180" w:hanging="180"/>
    </w:pPr>
  </w:style>
  <w:style w:type="character" w:customStyle="1" w:styleId="Numbers">
    <w:name w:val="Numbers"/>
    <w:basedOn w:val="DefaultParagraphFont"/>
    <w:uiPriority w:val="99"/>
    <w:rsid w:val="00161052"/>
    <w:rPr>
      <w:rFonts w:ascii="Wingdings" w:hAnsi="Wingdings" w:cs="Wingding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8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next w:val="BodyText"/>
    <w:uiPriority w:val="99"/>
    <w:rsid w:val="00161052"/>
    <w:pPr>
      <w:suppressAutoHyphens/>
      <w:autoSpaceDE w:val="0"/>
      <w:autoSpaceDN w:val="0"/>
      <w:adjustRightInd w:val="0"/>
      <w:spacing w:after="180" w:line="288" w:lineRule="auto"/>
      <w:jc w:val="right"/>
      <w:textAlignment w:val="center"/>
    </w:pPr>
    <w:rPr>
      <w:rFonts w:ascii="Myriad Pro" w:hAnsi="Myriad Pro" w:cs="Myriad Pro"/>
      <w:b/>
      <w:bCs/>
      <w:color w:val="00000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161052"/>
    <w:pPr>
      <w:keepNext/>
      <w:autoSpaceDE w:val="0"/>
      <w:autoSpaceDN w:val="0"/>
      <w:adjustRightInd w:val="0"/>
      <w:spacing w:after="180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1052"/>
    <w:rPr>
      <w:rFonts w:ascii="Myriad Pro" w:hAnsi="Myriad Pro" w:cs="Myriad Pro"/>
      <w:color w:val="000000"/>
      <w:sz w:val="20"/>
      <w:szCs w:val="20"/>
    </w:rPr>
  </w:style>
  <w:style w:type="paragraph" w:customStyle="1" w:styleId="BulletList">
    <w:name w:val="Bullet List"/>
    <w:basedOn w:val="BodyText"/>
    <w:uiPriority w:val="99"/>
    <w:rsid w:val="00161052"/>
    <w:pPr>
      <w:spacing w:after="90"/>
      <w:ind w:left="180" w:hanging="180"/>
    </w:pPr>
  </w:style>
  <w:style w:type="character" w:customStyle="1" w:styleId="Numbers">
    <w:name w:val="Numbers"/>
    <w:basedOn w:val="DefaultParagraphFont"/>
    <w:uiPriority w:val="99"/>
    <w:rsid w:val="00161052"/>
    <w:rPr>
      <w:rFonts w:ascii="Wingdings" w:hAnsi="Wingdings" w:cs="Wingding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h.gov/eph/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 Jon-Mikel (DOH)</dc:creator>
  <cp:lastModifiedBy>hdadmin</cp:lastModifiedBy>
  <cp:revision>2</cp:revision>
  <dcterms:created xsi:type="dcterms:W3CDTF">2016-05-16T17:35:00Z</dcterms:created>
  <dcterms:modified xsi:type="dcterms:W3CDTF">2016-05-16T17:35:00Z</dcterms:modified>
</cp:coreProperties>
</file>